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02Nomdulot"/>
        <w:keepLines/>
        <w:shd w:val="clear" w:color="auto" w:fill="E09926" w:themeFill="accent2"/>
        <w:spacing w:before="0" w:after="500"/>
        <w:ind w:hanging="0" w:left="57" w:right="0"/>
        <w:rPr>
          <w:rFonts w:ascii="Arial Gras" w:hAnsi="Arial Gras"/>
          <w:caps/>
          <w:sz w:val="39"/>
          <w:szCs w:val="39"/>
        </w:rPr>
      </w:pPr>
      <w:r>
        <w:rPr>
          <w:rFonts w:ascii="Arial Gras" w:hAnsi="Arial Gras"/>
          <w:caps/>
          <w:sz w:val="39"/>
          <w:szCs w:val="39"/>
        </w:rPr>
        <w:t xml:space="preserve">Assurance </w:t>
        <w:br/>
      </w:r>
      <w:r>
        <w:rPr>
          <w:rFonts w:ascii="Arial Gras" w:hAnsi="Arial Gras"/>
          <w:caps/>
          <w:spacing w:val="-2"/>
          <w:sz w:val="39"/>
          <w:szCs w:val="39"/>
        </w:rPr>
        <w:t>dommages aux biens et risques annexes</w:t>
      </w:r>
    </w:p>
    <w:p>
      <w:pPr>
        <w:pStyle w:val="03Numlot"/>
        <w:keepLines/>
        <w:spacing w:before="360" w:after="500"/>
        <w:ind w:hanging="0" w:right="0"/>
        <w:rPr>
          <w:b/>
          <w:sz w:val="38"/>
          <w:szCs w:val="38"/>
        </w:rPr>
      </w:pPr>
      <w:bookmarkStart w:id="0" w:name="_Hlk123307816"/>
      <w:r>
        <w:rPr>
          <w:b/>
          <w:sz w:val="38"/>
          <w:szCs w:val="38"/>
        </w:rPr>
        <w:t>Formulaire de déclaration du risque</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9284"/>
      </w:tblGrid>
      <w:tr>
        <w:trPr/>
        <w:tc>
          <w:tcPr>
            <w:tcW w:w="9284" w:type="dxa"/>
            <w:tcBorders/>
          </w:tcPr>
          <w:p>
            <w:pPr>
              <w:pStyle w:val="Normal"/>
              <w:spacing w:before="200" w:after="200"/>
              <w:jc w:val="center"/>
              <w:rPr>
                <w:b/>
                <w:bCs/>
                <w:sz w:val="28"/>
                <w:szCs w:val="28"/>
              </w:rPr>
            </w:pPr>
            <w:r>
              <w:rPr>
                <w:b/>
                <w:bCs/>
                <w:kern w:val="0"/>
                <w:sz w:val="28"/>
                <w:szCs w:val="28"/>
              </w:rPr>
              <w:t>AVERTISSEMENT</w:t>
            </w:r>
          </w:p>
          <w:p>
            <w:pPr>
              <w:pStyle w:val="Normal"/>
              <w:spacing w:before="0" w:after="0"/>
              <w:rPr>
                <w:sz w:val="22"/>
                <w:szCs w:val="22"/>
              </w:rPr>
            </w:pPr>
            <w:r>
              <w:rPr>
                <w:kern w:val="0"/>
                <w:sz w:val="22"/>
                <w:szCs w:val="22"/>
              </w:rPr>
              <w:t>Le présent questionnaire ne constitue pas un engagement à souscrire un contrat d'assurance et reste strictement confidentiel.</w:t>
            </w:r>
          </w:p>
          <w:p>
            <w:pPr>
              <w:pStyle w:val="Normal"/>
              <w:keepNext w:val="true"/>
              <w:spacing w:before="0" w:after="0"/>
              <w:rPr>
                <w:sz w:val="22"/>
                <w:szCs w:val="22"/>
              </w:rPr>
            </w:pPr>
            <w:r>
              <w:rPr>
                <w:kern w:val="0"/>
                <w:sz w:val="22"/>
                <w:szCs w:val="22"/>
              </w:rPr>
              <w:t>Le soussigné déclare :</w:t>
            </w:r>
          </w:p>
          <w:p>
            <w:pPr>
              <w:pStyle w:val="ListParagraph"/>
              <w:keepNext w:val="true"/>
              <w:numPr>
                <w:ilvl w:val="0"/>
                <w:numId w:val="2"/>
              </w:numPr>
              <w:spacing w:before="0" w:after="0"/>
              <w:ind w:hanging="357" w:left="714"/>
              <w:contextualSpacing/>
              <w:rPr>
                <w:sz w:val="22"/>
                <w:szCs w:val="22"/>
              </w:rPr>
            </w:pPr>
            <w:r>
              <w:rPr>
                <w:spacing w:val="-2"/>
                <w:kern w:val="0"/>
                <w:sz w:val="22"/>
                <w:szCs w:val="22"/>
              </w:rPr>
              <w:t>que les réponses ci-après sont à sa connaissance exactes,</w:t>
            </w:r>
          </w:p>
          <w:p>
            <w:pPr>
              <w:pStyle w:val="ListParagraph"/>
              <w:keepNext w:val="true"/>
              <w:numPr>
                <w:ilvl w:val="0"/>
                <w:numId w:val="2"/>
              </w:numPr>
              <w:spacing w:before="0" w:after="0"/>
              <w:ind w:hanging="357" w:left="714"/>
              <w:contextualSpacing/>
              <w:rPr>
                <w:spacing w:val="-2"/>
                <w:sz w:val="22"/>
                <w:szCs w:val="22"/>
              </w:rPr>
            </w:pPr>
            <w:r>
              <w:rPr>
                <w:spacing w:val="-2"/>
                <w:kern w:val="0"/>
                <w:sz w:val="22"/>
                <w:szCs w:val="22"/>
              </w:rPr>
              <w:t>avoir été informé qu'elles constituent les éléments d'appréciation du risque nécessaires à la fixation des primes et dont l'inexactitude serait susceptible de modifier les engagements de l'assureur (cf. articles du Code des assurances ci-dessous).</w:t>
            </w:r>
          </w:p>
          <w:p>
            <w:pPr>
              <w:pStyle w:val="Normal"/>
              <w:spacing w:before="0" w:after="0"/>
              <w:rPr>
                <w:sz w:val="22"/>
                <w:szCs w:val="22"/>
              </w:rPr>
            </w:pPr>
            <w:r>
              <w:rPr>
                <w:kern w:val="0"/>
                <w:sz w:val="22"/>
                <w:szCs w:val="22"/>
              </w:rPr>
              <w:t>Le soussigné ne peut être engagé au-delà des réponses apportées à ce questionnaire.</w:t>
            </w:r>
          </w:p>
          <w:p>
            <w:pPr>
              <w:pStyle w:val="Normal"/>
              <w:spacing w:before="0" w:after="240"/>
              <w:rPr>
                <w:sz w:val="22"/>
                <w:szCs w:val="22"/>
              </w:rPr>
            </w:pPr>
            <w:r>
              <w:rPr>
                <w:kern w:val="0"/>
                <w:sz w:val="22"/>
                <w:szCs w:val="22"/>
              </w:rPr>
              <w:t>Les assureurs peuvent demander tous renseignements complémentaires et, dès lors, reconnaissent avoir une connaissance suffisante du risque à garantir.</w:t>
            </w:r>
          </w:p>
          <w:p>
            <w:pPr>
              <w:pStyle w:val="Normal"/>
              <w:spacing w:before="0" w:after="0"/>
              <w:rPr>
                <w:sz w:val="22"/>
                <w:szCs w:val="22"/>
              </w:rPr>
            </w:pPr>
            <w:r>
              <w:rPr>
                <w:kern w:val="0"/>
                <w:sz w:val="22"/>
                <w:szCs w:val="22"/>
              </w:rPr>
              <w:t>Article L. 113-8 du Code des assurances</w:t>
            </w:r>
          </w:p>
          <w:p>
            <w:pPr>
              <w:pStyle w:val="Normal"/>
              <w:spacing w:before="0" w:after="0"/>
              <w:rPr>
                <w:i/>
                <w:i/>
                <w:iCs/>
                <w:sz w:val="22"/>
                <w:szCs w:val="22"/>
              </w:rPr>
            </w:pPr>
            <w:r>
              <w:rPr>
                <w:i/>
                <w:iCs/>
                <w:kern w:val="0"/>
                <w:sz w:val="22"/>
                <w:szCs w:val="22"/>
              </w:rPr>
              <w:t>Indépendamment des causes ordinaires de nullité, et sous réserve des dispositions de l'article </w:t>
            </w:r>
            <w:hyperlink r:id="rId2" w:tgtFrame="Code des assurances - art. L132-26 (V)">
              <w:r>
                <w:rPr>
                  <w:rStyle w:val="ListLabel172"/>
                  <w:i/>
                  <w:iCs/>
                  <w:kern w:val="0"/>
                  <w:sz w:val="22"/>
                  <w:szCs w:val="22"/>
                </w:rPr>
                <w:t>L. 132-26</w:t>
              </w:r>
            </w:hyperlink>
            <w:r>
              <w:rPr>
                <w:i/>
                <w:iCs/>
                <w:kern w:val="0"/>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pPr>
              <w:pStyle w:val="Normal"/>
              <w:spacing w:before="0" w:after="240"/>
              <w:rPr>
                <w:i/>
                <w:i/>
                <w:iCs/>
                <w:sz w:val="22"/>
                <w:szCs w:val="22"/>
              </w:rPr>
            </w:pPr>
            <w:r>
              <w:rPr>
                <w:i/>
                <w:iCs/>
                <w:kern w:val="0"/>
                <w:sz w:val="22"/>
                <w:szCs w:val="22"/>
              </w:rPr>
              <w:t>Les primes payées demeurent alors acquises à l'assureur, qui a droit au paiement de toutes les primes échues à titre de dommages et intérêts.</w:t>
            </w:r>
          </w:p>
          <w:p>
            <w:pPr>
              <w:pStyle w:val="Normal"/>
              <w:spacing w:before="0" w:after="0"/>
              <w:rPr>
                <w:sz w:val="22"/>
                <w:szCs w:val="22"/>
              </w:rPr>
            </w:pPr>
            <w:r>
              <w:rPr>
                <w:kern w:val="0"/>
                <w:sz w:val="22"/>
                <w:szCs w:val="22"/>
              </w:rPr>
              <w:t>Article L113-9 du Code des assurances</w:t>
            </w:r>
          </w:p>
          <w:p>
            <w:pPr>
              <w:pStyle w:val="Normal"/>
              <w:spacing w:before="0" w:after="0"/>
              <w:rPr>
                <w:i/>
                <w:i/>
                <w:iCs/>
                <w:sz w:val="22"/>
                <w:szCs w:val="22"/>
              </w:rPr>
            </w:pPr>
            <w:r>
              <w:rPr>
                <w:i/>
                <w:iCs/>
                <w:kern w:val="0"/>
                <w:sz w:val="22"/>
                <w:szCs w:val="22"/>
              </w:rPr>
              <w:t>L'omission ou la déclaration inexacte de la part de l'assuré dont la mauvaise foi n'est pas établie n'entraîne pas la nullité de l'assurance.</w:t>
            </w:r>
          </w:p>
          <w:p>
            <w:pPr>
              <w:pStyle w:val="Normal"/>
              <w:spacing w:before="0" w:after="0"/>
              <w:rPr>
                <w:i/>
                <w:i/>
                <w:iCs/>
                <w:sz w:val="22"/>
                <w:szCs w:val="22"/>
              </w:rPr>
            </w:pPr>
            <w:r>
              <w:rPr>
                <w:i/>
                <w:iCs/>
                <w:kern w:val="0"/>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pPr>
              <w:pStyle w:val="Normal"/>
              <w:keepLines/>
              <w:spacing w:before="0" w:after="240"/>
              <w:rPr>
                <w:b/>
                <w:bCs/>
              </w:rPr>
            </w:pPr>
            <w:r>
              <w:rPr>
                <w:i/>
                <w:iCs/>
                <w:kern w:val="0"/>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pPr>
        <w:pStyle w:val="Normal"/>
        <w:keepLines/>
        <w:widowControl/>
        <w:spacing w:before="480" w:after="120"/>
        <w:jc w:val="left"/>
        <w:rPr/>
      </w:pPr>
      <w:bookmarkStart w:id="1" w:name="_Hlk123307816"/>
      <w:r>
        <w:rPr/>
        <w:t>Nom et adresse du souscripteur :</w:t>
      </w:r>
      <w:bookmarkEnd w:id="1"/>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9284"/>
      </w:tblGrid>
      <w:tr>
        <w:trPr/>
        <w:tc>
          <w:tcPr>
            <w:tcW w:w="9284"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rPr>
                <w:sz w:val="22"/>
                <w:szCs w:val="22"/>
              </w:rPr>
            </w:pPr>
            <w:r>
              <w:rPr>
                <w:kern w:val="0"/>
                <w:sz w:val="22"/>
                <w:szCs w:val="22"/>
              </w:rPr>
              <w:t>Secrétariat Général Commun de la Loire</w:t>
            </w:r>
          </w:p>
        </w:tc>
      </w:tr>
    </w:tbl>
    <w:p>
      <w:pPr>
        <w:pStyle w:val="Normal"/>
        <w:keepNext w:val="true"/>
        <w:keepLines/>
        <w:tabs>
          <w:tab w:val="clear" w:pos="708"/>
          <w:tab w:val="left" w:pos="851" w:leader="none"/>
        </w:tabs>
        <w:spacing w:before="240" w:after="120"/>
        <w:rPr/>
      </w:pPr>
      <w:r>
        <w:rPr/>
        <w:t>Le contrat doit-il être souscrit pour des organismes satellites du souscripteur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hanging="0" w:left="3969" w:right="3969"/>
        <w:jc w:val="center"/>
        <w:rPr/>
      </w:pPr>
      <w:r>
        <w:rPr/>
        <w:t>NON</w:t>
      </w:r>
    </w:p>
    <w:p>
      <w:pPr>
        <w:pStyle w:val="Normal"/>
        <w:keepLines/>
        <w:widowControl/>
        <w:ind w:firstLine="360"/>
        <w:jc w:val="left"/>
        <w:rPr>
          <w:sz w:val="2"/>
          <w:szCs w:val="2"/>
        </w:rPr>
      </w:pPr>
      <w:r>
        <w:rPr>
          <w:sz w:val="2"/>
          <w:szCs w:val="2"/>
        </w:rPr>
        <w:t xml:space="preserve"> </w:t>
      </w:r>
    </w:p>
    <w:p>
      <w:pPr>
        <w:pStyle w:val="Normal"/>
        <w:keepNext w:val="true"/>
        <w:keepLines/>
        <w:tabs>
          <w:tab w:val="clear" w:pos="708"/>
          <w:tab w:val="left" w:pos="851" w:leader="none"/>
        </w:tabs>
        <w:spacing w:before="240" w:after="120"/>
        <w:rPr>
          <w:sz w:val="24"/>
        </w:rPr>
      </w:pPr>
      <w:r>
        <w:rPr>
          <w:sz w:val="24"/>
        </w:rPr>
        <w:t>Si</w:t>
      </w:r>
      <w:r>
        <w:rPr>
          <w:b/>
          <w:sz w:val="24"/>
        </w:rPr>
        <w:t xml:space="preserve"> </w:t>
      </w:r>
      <w:r>
        <w:rPr>
          <w:bCs/>
          <w:sz w:val="24"/>
        </w:rPr>
        <w:t>OUI</w:t>
      </w:r>
      <w:r>
        <w:rPr>
          <w:sz w:val="24"/>
        </w:rPr>
        <w:t xml:space="preserve">, </w:t>
      </w:r>
      <w:r>
        <w:rPr/>
        <w:t>lesquels ?</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5173"/>
        <w:gridCol w:w="4110"/>
      </w:tblGrid>
      <w:tr>
        <w:trPr>
          <w:cantSplit w:val="true"/>
        </w:trPr>
        <w:tc>
          <w:tcPr>
            <w:tcW w:w="5173" w:type="dxa"/>
            <w:tcBorders>
              <w:top w:val="nil"/>
              <w:left w:val="nil"/>
            </w:tcBorders>
            <w:vAlign w:val="center"/>
          </w:tcPr>
          <w:p>
            <w:pPr>
              <w:pStyle w:val="Normal"/>
              <w:keepNext w:val="true"/>
              <w:keepLines/>
              <w:spacing w:before="80" w:after="80"/>
              <w:ind w:hanging="0" w:left="-106"/>
              <w:jc w:val="center"/>
              <w:rPr>
                <w:sz w:val="22"/>
                <w:szCs w:val="22"/>
              </w:rPr>
            </w:pPr>
            <w:r>
              <w:rPr>
                <w:kern w:val="0"/>
                <w:sz w:val="22"/>
                <w:szCs w:val="22"/>
              </w:rPr>
            </w:r>
          </w:p>
        </w:tc>
        <w:tc>
          <w:tcPr>
            <w:tcW w:w="4110" w:type="dxa"/>
            <w:tcBorders>
              <w:bottom w:val="single" w:sz="12" w:space="0" w:color="E09926"/>
            </w:tcBorders>
            <w:vAlign w:val="center"/>
          </w:tcPr>
          <w:p>
            <w:pPr>
              <w:pStyle w:val="Normal"/>
              <w:keepNext w:val="true"/>
              <w:keepLines/>
              <w:spacing w:before="80" w:after="80"/>
              <w:jc w:val="center"/>
              <w:rPr>
                <w:spacing w:val="-4"/>
                <w:sz w:val="22"/>
                <w:szCs w:val="22"/>
              </w:rPr>
            </w:pPr>
            <w:r>
              <w:rPr>
                <w:spacing w:val="-2"/>
                <w:kern w:val="0"/>
                <w:sz w:val="22"/>
                <w:szCs w:val="22"/>
              </w:rPr>
              <w:t>Surface totale à assurer en m</w:t>
            </w:r>
            <w:r>
              <w:rPr>
                <w:spacing w:val="-2"/>
                <w:kern w:val="0"/>
                <w:sz w:val="22"/>
                <w:szCs w:val="22"/>
                <w:vertAlign w:val="superscript"/>
              </w:rPr>
              <w:t>2</w:t>
            </w:r>
          </w:p>
        </w:tc>
      </w:tr>
      <w:tr>
        <w:trPr>
          <w:cantSplit w:val="true"/>
        </w:trPr>
        <w:tc>
          <w:tcPr>
            <w:tcW w:w="5173" w:type="dxa"/>
            <w:tcBorders>
              <w:right w:val="single" w:sz="12" w:space="0" w:color="E09926"/>
            </w:tcBorders>
            <w:vAlign w:val="center"/>
          </w:tcPr>
          <w:p>
            <w:pPr>
              <w:pStyle w:val="Normal"/>
              <w:keepLines/>
              <w:spacing w:before="80" w:after="80"/>
              <w:ind w:hanging="0" w:left="-106"/>
              <w:jc w:val="center"/>
              <w:rPr>
                <w:sz w:val="22"/>
                <w:szCs w:val="22"/>
              </w:rPr>
            </w:pPr>
            <w:r>
              <w:rPr>
                <w:kern w:val="0"/>
                <w:sz w:val="22"/>
                <w:szCs w:val="22"/>
              </w:rPr>
            </w:r>
          </w:p>
        </w:tc>
        <w:tc>
          <w:tcPr>
            <w:tcW w:w="4110"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r>
        <w:trPr>
          <w:cantSplit w:val="true"/>
        </w:trPr>
        <w:tc>
          <w:tcPr>
            <w:tcW w:w="5173" w:type="dxa"/>
            <w:tcBorders>
              <w:right w:val="single" w:sz="12" w:space="0" w:color="E09926"/>
            </w:tcBorders>
            <w:vAlign w:val="center"/>
          </w:tcPr>
          <w:p>
            <w:pPr>
              <w:pStyle w:val="Normal"/>
              <w:keepLines/>
              <w:spacing w:before="80" w:after="80"/>
              <w:ind w:hanging="0" w:left="-106"/>
              <w:jc w:val="center"/>
              <w:rPr>
                <w:sz w:val="22"/>
                <w:szCs w:val="22"/>
              </w:rPr>
            </w:pPr>
            <w:r>
              <w:rPr>
                <w:kern w:val="0"/>
                <w:sz w:val="22"/>
                <w:szCs w:val="22"/>
              </w:rPr>
            </w:r>
          </w:p>
        </w:tc>
        <w:tc>
          <w:tcPr>
            <w:tcW w:w="4110"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r>
        <w:trPr>
          <w:cantSplit w:val="true"/>
        </w:trPr>
        <w:tc>
          <w:tcPr>
            <w:tcW w:w="5173" w:type="dxa"/>
            <w:tcBorders>
              <w:right w:val="single" w:sz="12" w:space="0" w:color="E09926"/>
            </w:tcBorders>
            <w:vAlign w:val="center"/>
          </w:tcPr>
          <w:p>
            <w:pPr>
              <w:pStyle w:val="Normal"/>
              <w:keepLines/>
              <w:spacing w:before="80" w:after="80"/>
              <w:ind w:hanging="0" w:left="-106"/>
              <w:jc w:val="center"/>
              <w:rPr>
                <w:sz w:val="22"/>
                <w:szCs w:val="22"/>
              </w:rPr>
            </w:pPr>
            <w:r>
              <w:rPr>
                <w:kern w:val="0"/>
                <w:sz w:val="22"/>
                <w:szCs w:val="22"/>
              </w:rPr>
            </w:r>
          </w:p>
        </w:tc>
        <w:tc>
          <w:tcPr>
            <w:tcW w:w="4110"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bl>
    <w:p>
      <w:pPr>
        <w:pStyle w:val="Heading1"/>
        <w:rPr/>
      </w:pPr>
      <w:r>
        <w:rPr/>
        <w:t>Les bâtiments et leur contenu</w:t>
      </w:r>
    </w:p>
    <w:p>
      <w:pPr>
        <w:pStyle w:val="Heading2"/>
        <w:rPr/>
      </w:pPr>
      <w:r>
        <w:rPr/>
        <w:t>Informations générales</w:t>
      </w:r>
    </w:p>
    <w:p>
      <w:pPr>
        <w:pStyle w:val="Normal"/>
        <w:keepNext w:val="true"/>
        <w:spacing w:before="0" w:after="120"/>
        <w:rPr/>
      </w:pPr>
      <w:r>
        <w:rPr/>
        <w:t>Compléter le tableau ci-après.</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3898"/>
        <w:gridCol w:w="1417"/>
        <w:gridCol w:w="3969"/>
      </w:tblGrid>
      <w:tr>
        <w:trPr/>
        <w:tc>
          <w:tcPr>
            <w:tcW w:w="3898" w:type="dxa"/>
            <w:tcBorders>
              <w:right w:val="single" w:sz="12" w:space="0" w:color="E09926"/>
            </w:tcBorders>
            <w:vAlign w:val="center"/>
          </w:tcPr>
          <w:p>
            <w:pPr>
              <w:pStyle w:val="Normal"/>
              <w:keepLines/>
              <w:spacing w:before="80" w:after="80"/>
              <w:rPr>
                <w:spacing w:val="-2"/>
                <w:sz w:val="22"/>
                <w:szCs w:val="22"/>
              </w:rPr>
            </w:pPr>
            <w:r>
              <w:rPr>
                <w:spacing w:val="-2"/>
                <w:kern w:val="0"/>
                <w:sz w:val="22"/>
                <w:szCs w:val="22"/>
              </w:rPr>
              <w:t>Surface totale à assurer en m</w:t>
            </w:r>
            <w:r>
              <w:rPr>
                <w:spacing w:val="-2"/>
                <w:kern w:val="0"/>
                <w:sz w:val="22"/>
                <w:szCs w:val="22"/>
                <w:vertAlign w:val="superscript"/>
              </w:rPr>
              <w:t>2</w:t>
            </w:r>
            <w:r>
              <w:rPr>
                <w:rStyle w:val="InternetLink"/>
                <w:color w:val="auto"/>
                <w:spacing w:val="-2"/>
                <w:kern w:val="0"/>
                <w:sz w:val="20"/>
                <w:szCs w:val="20"/>
                <w:u w:val="none"/>
              </w:rPr>
              <w:t xml:space="preserve"> </w:t>
            </w:r>
            <w:hyperlink r:id="rId3" w:tgtFrame="Cliquer ici pour plus d'informations sur les différents types de surface.">
              <w:r>
                <w:rPr>
                  <w:rStyle w:val="Hyperlink"/>
                  <w:spacing w:val="-2"/>
                  <w:kern w:val="0"/>
                  <w:sz w:val="16"/>
                  <w:szCs w:val="16"/>
                </w:rPr>
                <w:t>+ d’infos</w:t>
              </w:r>
            </w:hyperlink>
          </w:p>
        </w:tc>
        <w:tc>
          <w:tcPr>
            <w:tcW w:w="1417"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t>17266</w:t>
            </w:r>
          </w:p>
        </w:tc>
        <w:tc>
          <w:tcPr>
            <w:tcW w:w="3969" w:type="dxa"/>
            <w:tcBorders>
              <w:left w:val="single" w:sz="12" w:space="0" w:color="E09926"/>
            </w:tcBorders>
            <w:vAlign w:val="center"/>
          </w:tcPr>
          <w:p>
            <w:pPr>
              <w:pStyle w:val="Normal"/>
              <w:keepLines/>
              <w:spacing w:before="80" w:after="80"/>
              <w:rPr>
                <w:b/>
                <w:bCs/>
                <w:sz w:val="22"/>
                <w:szCs w:val="22"/>
              </w:rPr>
            </w:pPr>
            <w:bookmarkStart w:id="2" w:name="SURFACE"/>
            <w:r>
              <w:rPr>
                <w:b/>
                <w:bCs/>
                <w:kern w:val="0"/>
                <w:sz w:val="22"/>
                <w:szCs w:val="22"/>
              </w:rPr>
              <w:t xml:space="preserve">Compléter </w:t>
            </w:r>
            <w:bookmarkEnd w:id="2"/>
            <w:r>
              <w:rPr>
                <w:b/>
                <w:bCs/>
                <w:kern w:val="0"/>
                <w:sz w:val="22"/>
                <w:szCs w:val="22"/>
              </w:rPr>
              <w:t>le fichier Excel</w:t>
            </w:r>
            <w:r>
              <w:rPr>
                <w:b/>
                <w:bCs/>
                <w:kern w:val="0"/>
                <w:sz w:val="20"/>
                <w:szCs w:val="20"/>
              </w:rPr>
              <w:t xml:space="preserve">  </w:t>
            </w:r>
            <w:r>
              <w:rPr>
                <w:rStyle w:val="InternetLink"/>
                <w:color w:val="auto"/>
                <w:spacing w:val="-2"/>
                <w:kern w:val="0"/>
                <w:sz w:val="20"/>
                <w:szCs w:val="20"/>
                <w:u w:val="none"/>
              </w:rPr>
              <w:t xml:space="preserve"> </w:t>
            </w:r>
            <w:hyperlink r:id="rId4" w:tgtFrame="Cliquer ici pour plus d'informations sur les bâtiments qui doivent figurer dans la liste des bâtiments.">
              <w:bookmarkStart w:id="3" w:name="_Hlk123374440"/>
              <w:r>
                <w:rPr>
                  <w:rStyle w:val="Hyperlink"/>
                  <w:spacing w:val="-2"/>
                  <w:kern w:val="0"/>
                  <w:sz w:val="16"/>
                  <w:szCs w:val="16"/>
                </w:rPr>
                <w:t>+ d’infos</w:t>
              </w:r>
            </w:hyperlink>
            <w:bookmarkEnd w:id="3"/>
          </w:p>
        </w:tc>
      </w:tr>
      <w:tr>
        <w:trPr/>
        <w:tc>
          <w:tcPr>
            <w:tcW w:w="3898" w:type="dxa"/>
            <w:tcBorders>
              <w:right w:val="single" w:sz="12" w:space="0" w:color="E09926"/>
            </w:tcBorders>
            <w:vAlign w:val="center"/>
          </w:tcPr>
          <w:p>
            <w:pPr>
              <w:pStyle w:val="Normal"/>
              <w:keepLines/>
              <w:spacing w:before="80" w:after="80"/>
              <w:rPr>
                <w:sz w:val="22"/>
                <w:szCs w:val="22"/>
              </w:rPr>
            </w:pPr>
            <w:r>
              <w:rPr>
                <w:kern w:val="0"/>
                <w:sz w:val="22"/>
                <w:szCs w:val="22"/>
              </w:rPr>
              <w:t xml:space="preserve">Expertise préalable </w:t>
            </w:r>
            <w:hyperlink r:id="rId5" w:tgtFrame="Qu'est-ce qu'une expertise préalable ?">
              <w:r>
                <w:rPr>
                  <w:rStyle w:val="Hyperlink"/>
                  <w:spacing w:val="-2"/>
                  <w:kern w:val="0"/>
                  <w:sz w:val="16"/>
                  <w:szCs w:val="16"/>
                </w:rPr>
                <w:t>+ d’infos</w:t>
              </w:r>
            </w:hyperlink>
          </w:p>
        </w:tc>
        <w:tc>
          <w:tcPr>
            <w:tcW w:w="1417"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t>OUI</w:t>
            </w:r>
          </w:p>
        </w:tc>
        <w:tc>
          <w:tcPr>
            <w:tcW w:w="3969" w:type="dxa"/>
            <w:tcBorders>
              <w:left w:val="single" w:sz="12" w:space="0" w:color="E09926"/>
            </w:tcBorders>
            <w:vAlign w:val="center"/>
          </w:tcPr>
          <w:p>
            <w:pPr>
              <w:pStyle w:val="Normal"/>
              <w:keepLines/>
              <w:spacing w:before="80" w:after="80"/>
              <w:rPr>
                <w:sz w:val="22"/>
                <w:szCs w:val="22"/>
              </w:rPr>
            </w:pPr>
            <w:r>
              <w:rPr>
                <w:kern w:val="0"/>
                <w:sz w:val="22"/>
                <w:szCs w:val="22"/>
              </w:rPr>
              <w:t xml:space="preserve">Si OUI, </w:t>
            </w:r>
            <w:r>
              <w:rPr>
                <w:b/>
                <w:bCs/>
                <w:kern w:val="0"/>
                <w:sz w:val="22"/>
                <w:szCs w:val="22"/>
              </w:rPr>
              <w:t>sur les résidences, expertises déjà transmises</w:t>
            </w:r>
          </w:p>
        </w:tc>
      </w:tr>
      <w:tr>
        <w:trPr/>
        <w:tc>
          <w:tcPr>
            <w:tcW w:w="3898" w:type="dxa"/>
            <w:tcBorders>
              <w:right w:val="single" w:sz="12" w:space="0" w:color="E09926"/>
            </w:tcBorders>
            <w:vAlign w:val="center"/>
          </w:tcPr>
          <w:p>
            <w:pPr>
              <w:pStyle w:val="Normal"/>
              <w:keepLines/>
              <w:spacing w:before="80" w:after="80"/>
              <w:rPr>
                <w:sz w:val="22"/>
                <w:szCs w:val="22"/>
              </w:rPr>
            </w:pPr>
            <w:r>
              <w:rPr>
                <w:kern w:val="0"/>
                <w:sz w:val="22"/>
                <w:szCs w:val="22"/>
              </w:rPr>
              <w:t>Monuments historiques</w:t>
            </w:r>
          </w:p>
        </w:tc>
        <w:tc>
          <w:tcPr>
            <w:tcW w:w="1417"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t xml:space="preserve">OUI </w:t>
            </w:r>
          </w:p>
        </w:tc>
        <w:tc>
          <w:tcPr>
            <w:tcW w:w="3969" w:type="dxa"/>
            <w:tcBorders>
              <w:left w:val="single" w:sz="12" w:space="0" w:color="E09926"/>
            </w:tcBorders>
            <w:vAlign w:val="center"/>
          </w:tcPr>
          <w:p>
            <w:pPr>
              <w:pStyle w:val="Normal"/>
              <w:keepLines/>
              <w:spacing w:before="80" w:after="80"/>
              <w:rPr>
                <w:sz w:val="22"/>
                <w:szCs w:val="22"/>
              </w:rPr>
            </w:pPr>
            <w:r>
              <w:rPr>
                <w:kern w:val="0"/>
                <w:sz w:val="22"/>
                <w:szCs w:val="22"/>
              </w:rPr>
              <w:t>Si OUI,</w:t>
            </w:r>
            <w:r>
              <w:rPr>
                <w:b/>
                <w:bCs/>
                <w:kern w:val="0"/>
                <w:sz w:val="22"/>
                <w:szCs w:val="22"/>
              </w:rPr>
              <w:t xml:space="preserve"> liste join</w:t>
            </w:r>
            <w:r>
              <w:rPr>
                <w:b/>
                <w:bCs/>
                <w:kern w:val="0"/>
                <w:sz w:val="22"/>
                <w:szCs w:val="22"/>
              </w:rPr>
              <w:t>te</w:t>
            </w:r>
          </w:p>
        </w:tc>
      </w:tr>
      <w:tr>
        <w:trPr/>
        <w:tc>
          <w:tcPr>
            <w:tcW w:w="3898" w:type="dxa"/>
            <w:tcBorders>
              <w:right w:val="single" w:sz="12" w:space="0" w:color="E09926"/>
            </w:tcBorders>
            <w:vAlign w:val="center"/>
          </w:tcPr>
          <w:p>
            <w:pPr>
              <w:pStyle w:val="Normal"/>
              <w:keepLines/>
              <w:spacing w:before="80" w:after="80"/>
              <w:rPr>
                <w:sz w:val="22"/>
                <w:szCs w:val="22"/>
              </w:rPr>
            </w:pPr>
            <w:r>
              <w:rPr>
                <w:kern w:val="0"/>
                <w:sz w:val="22"/>
                <w:szCs w:val="22"/>
              </w:rPr>
              <w:t>Œuvres d’art et collections</w:t>
            </w:r>
          </w:p>
        </w:tc>
        <w:tc>
          <w:tcPr>
            <w:tcW w:w="1417"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t>NON</w:t>
            </w:r>
          </w:p>
        </w:tc>
        <w:tc>
          <w:tcPr>
            <w:tcW w:w="3969" w:type="dxa"/>
            <w:tcBorders>
              <w:left w:val="single" w:sz="12" w:space="0" w:color="E09926"/>
            </w:tcBorders>
            <w:vAlign w:val="center"/>
          </w:tcPr>
          <w:p>
            <w:pPr>
              <w:pStyle w:val="Normal"/>
              <w:keepLines/>
              <w:spacing w:before="80" w:after="80"/>
              <w:rPr>
                <w:sz w:val="22"/>
                <w:szCs w:val="22"/>
              </w:rPr>
            </w:pPr>
            <w:r>
              <w:rPr>
                <w:kern w:val="0"/>
                <w:sz w:val="20"/>
                <w:szCs w:val="20"/>
              </w:rPr>
            </w:r>
          </w:p>
        </w:tc>
      </w:tr>
    </w:tbl>
    <w:p>
      <w:pPr>
        <w:pStyle w:val="Normal"/>
        <w:keepNext w:val="true"/>
        <w:keepLines/>
        <w:tabs>
          <w:tab w:val="clear" w:pos="708"/>
          <w:tab w:val="left" w:pos="851" w:leader="none"/>
        </w:tabs>
        <w:spacing w:before="220" w:after="120"/>
        <w:rPr/>
      </w:pPr>
      <w:r>
        <w:rPr/>
        <w:t>Existe-t-il des bâtiments de plus de 5 000 m</w:t>
      </w:r>
      <w:r>
        <w:rPr>
          <w:vertAlign w:val="superscript"/>
        </w:rPr>
        <w:t>2</w:t>
      </w:r>
      <w:r>
        <w:rPr/>
        <w:t>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 xml:space="preserve">OUI </w:t>
      </w:r>
    </w:p>
    <w:p>
      <w:pPr>
        <w:pStyle w:val="Normal"/>
        <w:keepNext w:val="true"/>
        <w:keepLines/>
        <w:tabs>
          <w:tab w:val="clear" w:pos="708"/>
          <w:tab w:val="left" w:pos="851" w:leader="none"/>
        </w:tabs>
        <w:spacing w:before="220" w:after="120"/>
        <w:rPr>
          <w:b/>
          <w:bCs/>
        </w:rPr>
      </w:pPr>
      <w:r>
        <w:rPr/>
        <w:t>Si OUI, en préciser le nom, la nature et la capacité</w:t>
      </w:r>
      <w:r>
        <w:rPr>
          <w:b/>
          <w:bCs/>
        </w:rPr>
        <w:t xml:space="preserve"> et transmettre le plan ainsi que le dernier avis de la commission de sécurité.</w:t>
      </w:r>
    </w:p>
    <w:tbl>
      <w:tblPr>
        <w:tblStyle w:val="Grilledutableau"/>
        <w:tblW w:w="9211"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9211"/>
      </w:tblGrid>
      <w:tr>
        <w:trPr/>
        <w:tc>
          <w:tcPr>
            <w:tcW w:w="921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rPr>
                <w:kern w:val="0"/>
                <w:sz w:val="20"/>
                <w:szCs w:val="20"/>
              </w:rPr>
            </w:pPr>
            <w:r>
              <w:rPr>
                <w:kern w:val="0"/>
                <w:sz w:val="20"/>
                <w:szCs w:val="20"/>
              </w:rPr>
              <w:t>Le seul bâtiment supérieur à 5000m² fait l’objet d’une assurance locative uniquement</w:t>
            </w:r>
          </w:p>
        </w:tc>
      </w:tr>
    </w:tbl>
    <w:p>
      <w:pPr>
        <w:pStyle w:val="Heading2"/>
        <w:rPr/>
      </w:pPr>
      <w:r>
        <w:rPr/>
        <w:t xml:space="preserve">Mesures de sécurisation des bâtiments et installations </w:t>
      </w:r>
    </w:p>
    <w:p>
      <w:pPr>
        <w:pStyle w:val="Normal"/>
        <w:keepNext w:val="true"/>
        <w:keepLines/>
        <w:spacing w:before="0" w:after="120"/>
        <w:rPr/>
      </w:pPr>
      <w:r>
        <w:rPr/>
        <w:t>Décrire aussi précisément que possible les mesures de sécurisation des biens et installations (description des critères de protection, moyens mis en œuvre, montant des dépenses budgétaires inscrites ou programmées etc.).</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9284"/>
      </w:tblGrid>
      <w:tr>
        <w:trPr/>
        <w:tc>
          <w:tcPr>
            <w:tcW w:w="9284"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rPr>
                <w:sz w:val="22"/>
                <w:szCs w:val="22"/>
              </w:rPr>
            </w:pPr>
            <w:r>
              <w:rPr>
                <w:kern w:val="0"/>
                <w:sz w:val="22"/>
                <w:szCs w:val="22"/>
              </w:rPr>
              <w:t>Sur les bâtiments administratifs, les contrôles réglementaires électricité, gaz, ascenseurs sont fait chaque année.</w:t>
            </w:r>
          </w:p>
          <w:p>
            <w:pPr>
              <w:pStyle w:val="Normal"/>
              <w:spacing w:before="80" w:after="80"/>
              <w:rPr>
                <w:sz w:val="22"/>
                <w:szCs w:val="22"/>
              </w:rPr>
            </w:pPr>
            <w:r>
              <w:rPr>
                <w:kern w:val="0"/>
                <w:sz w:val="22"/>
                <w:szCs w:val="22"/>
              </w:rPr>
              <w:t>Sur les résidences, les contrôles réglementaires qui ne sont pas obligatoires sont fait tous les 5 ans (le prochain sera en 2026) pour l’électricité et tous les ans pour le gaz.</w:t>
            </w:r>
          </w:p>
          <w:p>
            <w:pPr>
              <w:pStyle w:val="Normal"/>
              <w:spacing w:before="80" w:after="80"/>
              <w:rPr>
                <w:sz w:val="22"/>
                <w:szCs w:val="22"/>
              </w:rPr>
            </w:pPr>
            <w:r>
              <w:rPr>
                <w:kern w:val="0"/>
                <w:sz w:val="22"/>
                <w:szCs w:val="22"/>
              </w:rPr>
              <w:t xml:space="preserve">Les levées de réserves sont faites chaque année par l’électricien de du SGC, pour les travaux qui ne relève pas de sa compétence un devis est demandé à une entreprise. </w:t>
            </w:r>
          </w:p>
          <w:p>
            <w:pPr>
              <w:pStyle w:val="Normal"/>
              <w:spacing w:before="80" w:after="80"/>
              <w:rPr>
                <w:sz w:val="22"/>
                <w:szCs w:val="22"/>
              </w:rPr>
            </w:pPr>
            <w:r>
              <w:rPr>
                <w:kern w:val="0"/>
                <w:sz w:val="22"/>
                <w:szCs w:val="22"/>
              </w:rPr>
              <w:t>Pour les sous-préfectures qui ont un parafoudre, le contrôle foudre a été fait en 2025 et corrigé en janvier 2026 par une entreprise spécialisée (3000€ par devis)</w:t>
            </w:r>
          </w:p>
          <w:p>
            <w:pPr>
              <w:pStyle w:val="Normal"/>
              <w:spacing w:before="80" w:after="80"/>
              <w:rPr>
                <w:sz w:val="22"/>
                <w:szCs w:val="22"/>
              </w:rPr>
            </w:pPr>
            <w:r>
              <w:rPr>
                <w:kern w:val="0"/>
                <w:sz w:val="22"/>
                <w:szCs w:val="22"/>
              </w:rPr>
              <w:t>Le bâtiment Cizeron a été rénové en casi totalité, il est équipé d’une centrale incendie, d’une alarme intrusion et il y a un gardien.</w:t>
            </w:r>
          </w:p>
          <w:p>
            <w:pPr>
              <w:pStyle w:val="Normal"/>
              <w:spacing w:before="80" w:after="80"/>
              <w:rPr>
                <w:sz w:val="22"/>
                <w:szCs w:val="22"/>
              </w:rPr>
            </w:pPr>
            <w:r>
              <w:rPr>
                <w:kern w:val="0"/>
                <w:sz w:val="22"/>
                <w:szCs w:val="22"/>
              </w:rPr>
              <w:t>Les 2 sous préfecture sont équipée d’une centrale incendie, d’une alarme intrusion et il y a un gardien.</w:t>
            </w:r>
          </w:p>
          <w:p>
            <w:pPr>
              <w:pStyle w:val="Normal"/>
              <w:spacing w:before="80" w:after="80"/>
              <w:rPr>
                <w:sz w:val="22"/>
                <w:szCs w:val="22"/>
              </w:rPr>
            </w:pPr>
            <w:r>
              <w:rPr>
                <w:kern w:val="0"/>
                <w:sz w:val="22"/>
                <w:szCs w:val="22"/>
              </w:rPr>
              <w:t>Le bâtiment LLR est équipé d’une centrale incendie neuve mise en service en septembre 2025 et d’une alarme intrusion.</w:t>
            </w:r>
          </w:p>
          <w:p>
            <w:pPr>
              <w:pStyle w:val="Normal"/>
              <w:spacing w:before="80" w:after="80"/>
              <w:rPr>
                <w:sz w:val="22"/>
                <w:szCs w:val="22"/>
              </w:rPr>
            </w:pPr>
            <w:r>
              <w:rPr>
                <w:kern w:val="0"/>
                <w:sz w:val="22"/>
                <w:szCs w:val="22"/>
              </w:rPr>
              <w:t>Le bâtiment Buard est équipé d’une centrale incendie et d’une alarme intrusion.</w:t>
            </w:r>
          </w:p>
          <w:p>
            <w:pPr>
              <w:pStyle w:val="Normal"/>
              <w:spacing w:before="80" w:after="80"/>
              <w:rPr>
                <w:sz w:val="22"/>
                <w:szCs w:val="22"/>
              </w:rPr>
            </w:pPr>
            <w:r>
              <w:rPr>
                <w:kern w:val="0"/>
                <w:sz w:val="22"/>
                <w:szCs w:val="22"/>
              </w:rPr>
              <w:t>Le bâtiment Gruner est équipé d’une centrale incendie (gérée par le propriétaire et d’une alarme intrusion.</w:t>
            </w:r>
          </w:p>
          <w:p>
            <w:pPr>
              <w:pStyle w:val="Normal"/>
              <w:spacing w:before="80" w:after="80"/>
              <w:rPr>
                <w:sz w:val="22"/>
                <w:szCs w:val="22"/>
              </w:rPr>
            </w:pPr>
            <w:r>
              <w:rPr>
                <w:kern w:val="0"/>
                <w:sz w:val="22"/>
                <w:szCs w:val="22"/>
              </w:rPr>
              <w:t>Le bâtiment Ste Anne devrait être équipée d’une alarme intrusion courant 2026.</w:t>
            </w:r>
          </w:p>
          <w:p>
            <w:pPr>
              <w:pStyle w:val="Normal"/>
              <w:spacing w:before="80" w:after="80"/>
              <w:rPr>
                <w:sz w:val="22"/>
                <w:szCs w:val="22"/>
              </w:rPr>
            </w:pPr>
            <w:r>
              <w:rPr>
                <w:kern w:val="0"/>
                <w:sz w:val="22"/>
                <w:szCs w:val="22"/>
              </w:rPr>
            </w:r>
          </w:p>
        </w:tc>
      </w:tr>
    </w:tbl>
    <w:p>
      <w:pPr>
        <w:pStyle w:val="Heading2"/>
        <w:rPr/>
      </w:pPr>
      <w:r>
        <w:rPr/>
        <w:t>Bâtiments spécifiques</w:t>
      </w:r>
    </w:p>
    <w:p>
      <w:pPr>
        <w:pStyle w:val="Normal"/>
        <w:keepNext w:val="true"/>
        <w:spacing w:before="120" w:after="120"/>
        <w:rPr/>
      </w:pPr>
      <w:r>
        <w:rPr/>
        <w:t xml:space="preserve">Le souscripteur possède-t-il et/ou occupe-t-il les bâtiments suivants ? </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7441"/>
        <w:gridCol w:w="1842"/>
      </w:tblGrid>
      <w:tr>
        <w:trPr/>
        <w:tc>
          <w:tcPr>
            <w:tcW w:w="7441" w:type="dxa"/>
            <w:tcBorders>
              <w:right w:val="single" w:sz="12" w:space="0" w:color="E09926"/>
            </w:tcBorders>
            <w:vAlign w:val="center"/>
          </w:tcPr>
          <w:p>
            <w:pPr>
              <w:pStyle w:val="Normal"/>
              <w:keepLines/>
              <w:spacing w:before="80" w:after="80"/>
              <w:rPr>
                <w:spacing w:val="-4"/>
                <w:sz w:val="22"/>
                <w:szCs w:val="22"/>
              </w:rPr>
            </w:pPr>
            <w:r>
              <w:rPr>
                <w:spacing w:val="-4"/>
                <w:kern w:val="0"/>
                <w:sz w:val="22"/>
                <w:szCs w:val="22"/>
              </w:rPr>
              <w:t xml:space="preserve">Immeubles de Grande Hauteur </w:t>
            </w:r>
            <w:hyperlink r:id="rId6" w:tgtFrame="Qu'est-ce qu'un immeuble de grande hauteur (IGH) ?">
              <w:r>
                <w:rPr>
                  <w:rStyle w:val="Hyperlink"/>
                  <w:spacing w:val="-2"/>
                  <w:kern w:val="0"/>
                  <w:sz w:val="16"/>
                  <w:szCs w:val="16"/>
                </w:rPr>
                <w:t>+ d’infos</w:t>
              </w:r>
            </w:hyperlink>
          </w:p>
        </w:tc>
        <w:tc>
          <w:tcPr>
            <w:tcW w:w="18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t>NON</w:t>
            </w:r>
          </w:p>
        </w:tc>
      </w:tr>
      <w:tr>
        <w:trPr/>
        <w:tc>
          <w:tcPr>
            <w:tcW w:w="7441" w:type="dxa"/>
            <w:tcBorders>
              <w:right w:val="single" w:sz="12" w:space="0" w:color="E09926"/>
            </w:tcBorders>
            <w:vAlign w:val="center"/>
          </w:tcPr>
          <w:p>
            <w:pPr>
              <w:pStyle w:val="Normal"/>
              <w:keepLines/>
              <w:spacing w:before="80" w:after="80"/>
              <w:rPr>
                <w:spacing w:val="-4"/>
                <w:sz w:val="22"/>
                <w:szCs w:val="22"/>
              </w:rPr>
            </w:pPr>
            <w:r>
              <w:rPr>
                <w:spacing w:val="-4"/>
                <w:kern w:val="0"/>
                <w:sz w:val="22"/>
                <w:szCs w:val="22"/>
              </w:rPr>
              <w:t>Chapiteaux fixes d’une valeur supérieure à 1 500 000 €</w:t>
            </w:r>
          </w:p>
        </w:tc>
        <w:tc>
          <w:tcPr>
            <w:tcW w:w="18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t>NON</w:t>
            </w:r>
          </w:p>
        </w:tc>
      </w:tr>
    </w:tbl>
    <w:p>
      <w:pPr>
        <w:pStyle w:val="Normal"/>
        <w:spacing w:before="120" w:after="120"/>
        <w:rPr>
          <w:b/>
          <w:bCs/>
        </w:rPr>
      </w:pPr>
      <w:r>
        <w:rPr/>
        <w:t>En cas de réponse positive à l’une des questions ci-dessus,</w:t>
      </w:r>
      <w:r>
        <w:rPr>
          <w:b/>
          <w:bCs/>
        </w:rPr>
        <w:t xml:space="preserve"> compléter le questionnaire « bâtiments spécifiques ».</w:t>
      </w:r>
    </w:p>
    <w:p>
      <w:pPr>
        <w:pStyle w:val="Heading1"/>
        <w:rPr/>
      </w:pPr>
      <w:r>
        <w:rPr/>
        <w:t>Les panneaux solaires</w:t>
      </w:r>
    </w:p>
    <w:p>
      <w:pPr>
        <w:pStyle w:val="Normal"/>
        <w:keepNext w:val="true"/>
        <w:keepLines/>
        <w:spacing w:before="120" w:after="120"/>
        <w:rPr/>
      </w:pPr>
      <w:r>
        <w:rPr/>
        <w:t>Le souscripteur est-il propriétaire ou gestionnaire de panneaux solaires posés au sol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NON</w:t>
      </w:r>
    </w:p>
    <w:p>
      <w:pPr>
        <w:pStyle w:val="Normal"/>
        <w:keepNext w:val="true"/>
        <w:keepLines/>
        <w:spacing w:before="300" w:after="120"/>
        <w:rPr/>
      </w:pPr>
      <w:r>
        <w:rPr/>
        <w:t>Le souscripteur est-il propriétaire ou gestionnaire de panneaux solaires en toiture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NON</w:t>
      </w:r>
    </w:p>
    <w:p>
      <w:pPr>
        <w:pStyle w:val="Normal"/>
        <w:keepNext w:val="true"/>
        <w:keepLines/>
        <w:spacing w:before="300" w:after="120"/>
        <w:rPr/>
      </w:pPr>
      <w:r>
        <w:rPr/>
        <w:t>Le souscripteur est-il propriétaire ou gestionnaire de panneaux solaires en ombrières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NON</w:t>
      </w:r>
    </w:p>
    <w:p>
      <w:pPr>
        <w:pStyle w:val="Normal"/>
        <w:keepNext w:val="true"/>
        <w:keepLines/>
        <w:spacing w:before="120" w:after="0"/>
        <w:rPr/>
      </w:pPr>
      <w:r>
        <w:rPr/>
        <w:t>En cas de réponse positive à l’une des trois questions précédentes :</w:t>
      </w:r>
    </w:p>
    <w:p>
      <w:pPr>
        <w:pStyle w:val="ListParagraph"/>
        <w:keepNext w:val="true"/>
        <w:numPr>
          <w:ilvl w:val="0"/>
          <w:numId w:val="2"/>
        </w:numPr>
        <w:ind w:hanging="357" w:left="714"/>
        <w:rPr>
          <w:spacing w:val="-2"/>
        </w:rPr>
      </w:pPr>
      <w:r>
        <w:rPr>
          <w:b/>
          <w:bCs/>
          <w:spacing w:val="-2"/>
        </w:rPr>
        <w:t>compléter le fichier excel joint</w:t>
      </w:r>
      <w:r>
        <w:rPr>
          <w:spacing w:val="-2"/>
        </w:rPr>
        <w:t xml:space="preserve"> pour toute installation dont la superficie est supérieure à 150 m</w:t>
      </w:r>
      <w:r>
        <w:rPr>
          <w:spacing w:val="-2"/>
          <w:vertAlign w:val="superscript"/>
        </w:rPr>
        <w:t>2</w:t>
      </w:r>
      <w:r>
        <w:rPr>
          <w:spacing w:val="-2"/>
        </w:rPr>
        <w:t xml:space="preserve">, </w:t>
      </w:r>
    </w:p>
    <w:p>
      <w:pPr>
        <w:pStyle w:val="ListParagraph"/>
        <w:keepNext w:val="true"/>
        <w:numPr>
          <w:ilvl w:val="0"/>
          <w:numId w:val="2"/>
        </w:numPr>
        <w:spacing w:before="0" w:after="120"/>
        <w:ind w:hanging="357" w:left="714"/>
        <w:contextualSpacing/>
        <w:rPr>
          <w:spacing w:val="-2"/>
        </w:rPr>
      </w:pPr>
      <w:r>
        <w:rPr>
          <w:spacing w:val="-2"/>
        </w:rPr>
        <w:t>compléter le tableau ci-après pour toute installation dont la superficie est inférieure à 150 m2.</w:t>
      </w:r>
    </w:p>
    <w:tbl>
      <w:tblPr>
        <w:tblStyle w:val="Grilledutableau"/>
        <w:tblW w:w="9251"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1541"/>
        <w:gridCol w:w="1542"/>
        <w:gridCol w:w="1542"/>
        <w:gridCol w:w="1542"/>
        <w:gridCol w:w="1541"/>
        <w:gridCol w:w="1542"/>
      </w:tblGrid>
      <w:tr>
        <w:trPr>
          <w:tblHeader w:val="true"/>
        </w:trPr>
        <w:tc>
          <w:tcPr>
            <w:tcW w:w="1541" w:type="dxa"/>
            <w:tcBorders>
              <w:bottom w:val="single" w:sz="12" w:space="0" w:color="E09926"/>
            </w:tcBorders>
            <w:vAlign w:val="center"/>
          </w:tcPr>
          <w:p>
            <w:pPr>
              <w:pStyle w:val="Normal"/>
              <w:keepNext w:val="true"/>
              <w:keepLines/>
              <w:spacing w:before="80" w:after="80"/>
              <w:jc w:val="center"/>
              <w:rPr>
                <w:spacing w:val="-4"/>
              </w:rPr>
            </w:pPr>
            <w:r>
              <w:rPr>
                <w:spacing w:val="-4"/>
                <w:kern w:val="0"/>
                <w:sz w:val="22"/>
                <w:szCs w:val="22"/>
              </w:rPr>
              <w:t>Adresse</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Type de matériel</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 xml:space="preserve">Surface </w:t>
            </w:r>
            <w:r>
              <w:rPr>
                <w:kern w:val="0"/>
                <w:sz w:val="22"/>
                <w:szCs w:val="22"/>
              </w:rPr>
              <w:t>m</w:t>
            </w:r>
            <w:r>
              <w:rPr>
                <w:kern w:val="0"/>
                <w:sz w:val="22"/>
                <w:szCs w:val="22"/>
                <w:vertAlign w:val="superscript"/>
              </w:rPr>
              <w:t xml:space="preserve">2 </w:t>
            </w:r>
            <w:r>
              <w:rPr>
                <w:spacing w:val="-4"/>
                <w:kern w:val="0"/>
                <w:sz w:val="22"/>
                <w:szCs w:val="22"/>
              </w:rPr>
              <w:t>de l’installation</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Valeur € de l’installation</w:t>
            </w:r>
          </w:p>
        </w:tc>
        <w:tc>
          <w:tcPr>
            <w:tcW w:w="1541" w:type="dxa"/>
            <w:tcBorders>
              <w:bottom w:val="single" w:sz="12" w:space="0" w:color="E09926"/>
            </w:tcBorders>
            <w:vAlign w:val="center"/>
          </w:tcPr>
          <w:p>
            <w:pPr>
              <w:pStyle w:val="Normal"/>
              <w:keepNext w:val="true"/>
              <w:keepLines/>
              <w:spacing w:before="80" w:after="80"/>
              <w:ind w:hanging="0" w:left="-113" w:right="-125"/>
              <w:jc w:val="center"/>
              <w:rPr>
                <w:spacing w:val="-4"/>
                <w:sz w:val="22"/>
                <w:szCs w:val="22"/>
              </w:rPr>
            </w:pPr>
            <w:r>
              <w:rPr>
                <w:spacing w:val="-4"/>
                <w:kern w:val="0"/>
                <w:sz w:val="22"/>
                <w:szCs w:val="22"/>
              </w:rPr>
              <w:t>Puissance KVA de l’installation</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Chiffre d’affaires €</w:t>
            </w:r>
          </w:p>
        </w:tc>
      </w:tr>
      <w:tr>
        <w:trPr/>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r>
        <w:trPr/>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r>
        <w:trPr/>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bl>
    <w:p>
      <w:pPr>
        <w:pStyle w:val="Normal"/>
        <w:keepNext w:val="true"/>
        <w:keepLines/>
        <w:spacing w:before="300" w:after="120"/>
        <w:rPr/>
      </w:pPr>
      <w:r>
        <w:rPr/>
        <w:t>Existe-t-il des panneaux solaires n’appartenant pas au souscripteur mais fixés sur des biens lui appartenant (en particulier en toiture)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NON</w:t>
      </w:r>
    </w:p>
    <w:p>
      <w:pPr>
        <w:pStyle w:val="Normal"/>
        <w:keepNext w:val="true"/>
        <w:keepLines/>
        <w:spacing w:before="120" w:after="120"/>
        <w:rPr/>
      </w:pPr>
      <w:r>
        <w:rPr/>
        <w:t>Si oui, compléter le tableau ci-après.</w:t>
      </w:r>
    </w:p>
    <w:tbl>
      <w:tblPr>
        <w:tblStyle w:val="Grilledutableau"/>
        <w:tblW w:w="9251"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1541"/>
        <w:gridCol w:w="1542"/>
        <w:gridCol w:w="1542"/>
        <w:gridCol w:w="1542"/>
        <w:gridCol w:w="1541"/>
        <w:gridCol w:w="1542"/>
      </w:tblGrid>
      <w:tr>
        <w:trPr>
          <w:tblHeader w:val="true"/>
        </w:trPr>
        <w:tc>
          <w:tcPr>
            <w:tcW w:w="1541" w:type="dxa"/>
            <w:tcBorders>
              <w:bottom w:val="single" w:sz="12" w:space="0" w:color="E09926"/>
            </w:tcBorders>
            <w:vAlign w:val="center"/>
          </w:tcPr>
          <w:p>
            <w:pPr>
              <w:pStyle w:val="Normal"/>
              <w:keepNext w:val="true"/>
              <w:keepLines/>
              <w:spacing w:before="80" w:after="80"/>
              <w:jc w:val="center"/>
              <w:rPr>
                <w:spacing w:val="-4"/>
              </w:rPr>
            </w:pPr>
            <w:r>
              <w:rPr>
                <w:spacing w:val="-4"/>
                <w:kern w:val="0"/>
                <w:sz w:val="22"/>
                <w:szCs w:val="22"/>
              </w:rPr>
              <w:t>Adresse</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Type de matériel</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 xml:space="preserve">Surface </w:t>
            </w:r>
            <w:r>
              <w:rPr>
                <w:kern w:val="0"/>
                <w:sz w:val="22"/>
                <w:szCs w:val="22"/>
              </w:rPr>
              <w:t>m</w:t>
            </w:r>
            <w:r>
              <w:rPr>
                <w:kern w:val="0"/>
                <w:sz w:val="22"/>
                <w:szCs w:val="22"/>
                <w:vertAlign w:val="superscript"/>
              </w:rPr>
              <w:t xml:space="preserve">2 </w:t>
            </w:r>
            <w:r>
              <w:rPr>
                <w:spacing w:val="-4"/>
                <w:kern w:val="0"/>
                <w:sz w:val="22"/>
                <w:szCs w:val="22"/>
              </w:rPr>
              <w:t>de l’installation</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Valeur € de l’installation</w:t>
            </w:r>
          </w:p>
        </w:tc>
        <w:tc>
          <w:tcPr>
            <w:tcW w:w="1541" w:type="dxa"/>
            <w:tcBorders>
              <w:bottom w:val="single" w:sz="12" w:space="0" w:color="E09926"/>
            </w:tcBorders>
            <w:vAlign w:val="center"/>
          </w:tcPr>
          <w:p>
            <w:pPr>
              <w:pStyle w:val="Normal"/>
              <w:keepNext w:val="true"/>
              <w:keepLines/>
              <w:spacing w:before="80" w:after="80"/>
              <w:ind w:hanging="0" w:left="-113" w:right="-125"/>
              <w:jc w:val="center"/>
              <w:rPr>
                <w:spacing w:val="-4"/>
                <w:sz w:val="22"/>
                <w:szCs w:val="22"/>
              </w:rPr>
            </w:pPr>
            <w:r>
              <w:rPr>
                <w:spacing w:val="-4"/>
                <w:kern w:val="0"/>
                <w:sz w:val="22"/>
                <w:szCs w:val="22"/>
              </w:rPr>
              <w:t>Puissance KVA de l’installation</w:t>
            </w:r>
          </w:p>
        </w:tc>
        <w:tc>
          <w:tcPr>
            <w:tcW w:w="1542" w:type="dxa"/>
            <w:tcBorders>
              <w:bottom w:val="single" w:sz="12" w:space="0" w:color="E09926"/>
            </w:tcBorders>
            <w:vAlign w:val="center"/>
          </w:tcPr>
          <w:p>
            <w:pPr>
              <w:pStyle w:val="Normal"/>
              <w:keepNext w:val="true"/>
              <w:keepLines/>
              <w:spacing w:before="80" w:after="80"/>
              <w:jc w:val="center"/>
              <w:rPr>
                <w:spacing w:val="-4"/>
                <w:sz w:val="22"/>
                <w:szCs w:val="22"/>
              </w:rPr>
            </w:pPr>
            <w:r>
              <w:rPr>
                <w:spacing w:val="-4"/>
                <w:kern w:val="0"/>
                <w:sz w:val="22"/>
                <w:szCs w:val="22"/>
              </w:rPr>
              <w:t>Chiffre d’affaires €</w:t>
            </w:r>
          </w:p>
        </w:tc>
      </w:tr>
      <w:tr>
        <w:trPr/>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r>
        <w:trPr/>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r>
        <w:trPr/>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1"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c>
          <w:tcPr>
            <w:tcW w:w="1542"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sz w:val="22"/>
                <w:szCs w:val="22"/>
              </w:rPr>
            </w:pPr>
            <w:r>
              <w:rPr>
                <w:kern w:val="0"/>
                <w:sz w:val="22"/>
                <w:szCs w:val="22"/>
              </w:rPr>
            </w:r>
          </w:p>
        </w:tc>
      </w:tr>
    </w:tbl>
    <w:p>
      <w:pPr>
        <w:pStyle w:val="Normal"/>
        <w:keepNext w:val="true"/>
        <w:keepLines/>
        <w:spacing w:before="200" w:after="120"/>
        <w:rPr>
          <w:b/>
          <w:bCs/>
        </w:rPr>
      </w:pPr>
      <w:r>
        <w:rPr>
          <w:b/>
          <w:bCs/>
        </w:rPr>
        <w:t xml:space="preserve">Joindre les conventions passées avec les propriétaires des panneaux.  </w:t>
      </w:r>
    </w:p>
    <w:p>
      <w:pPr>
        <w:pStyle w:val="Heading1"/>
        <w:rPr/>
      </w:pPr>
      <w:r>
        <w:rPr/>
        <w:t>Les autres biens extérieurs</w:t>
      </w:r>
    </w:p>
    <w:p>
      <w:pPr>
        <w:pStyle w:val="Normal"/>
        <w:keepNext w:val="true"/>
        <w:keepLines/>
        <w:spacing w:before="120" w:after="120"/>
        <w:rPr/>
      </w:pPr>
      <w:bookmarkStart w:id="4" w:name="_Toc261440696"/>
      <w:bookmarkEnd w:id="4"/>
      <w:r>
        <w:rPr/>
        <w:t>Le souscripteur souhaite-t-il couvrir les biens suivants ?</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7583"/>
        <w:gridCol w:w="1700"/>
      </w:tblGrid>
      <w:tr>
        <w:trPr/>
        <w:tc>
          <w:tcPr>
            <w:tcW w:w="7583" w:type="dxa"/>
            <w:tcBorders>
              <w:right w:val="single" w:sz="12" w:space="0" w:color="E09926"/>
            </w:tcBorders>
            <w:vAlign w:val="center"/>
          </w:tcPr>
          <w:p>
            <w:pPr>
              <w:pStyle w:val="Normal"/>
              <w:keepLines/>
              <w:spacing w:before="80" w:after="80"/>
              <w:rPr>
                <w:sz w:val="22"/>
                <w:szCs w:val="22"/>
              </w:rPr>
            </w:pPr>
            <w:r>
              <w:rPr>
                <w:kern w:val="0"/>
                <w:sz w:val="22"/>
                <w:szCs w:val="22"/>
              </w:rPr>
              <w:t>Kiosques, abris</w:t>
            </w:r>
          </w:p>
        </w:tc>
        <w:tc>
          <w:tcPr>
            <w:tcW w:w="1700"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kern w:val="0"/>
                <w:sz w:val="20"/>
                <w:szCs w:val="20"/>
              </w:rPr>
            </w:pPr>
            <w:r>
              <w:rPr>
                <w:kern w:val="0"/>
                <w:sz w:val="22"/>
                <w:szCs w:val="22"/>
              </w:rPr>
              <w:t>NON</w:t>
            </w:r>
          </w:p>
        </w:tc>
      </w:tr>
      <w:tr>
        <w:trPr/>
        <w:tc>
          <w:tcPr>
            <w:tcW w:w="7583" w:type="dxa"/>
            <w:tcBorders>
              <w:right w:val="single" w:sz="12" w:space="0" w:color="E09926"/>
            </w:tcBorders>
            <w:vAlign w:val="center"/>
          </w:tcPr>
          <w:p>
            <w:pPr>
              <w:pStyle w:val="Normal"/>
              <w:keepLines/>
              <w:spacing w:before="80" w:after="80"/>
              <w:rPr>
                <w:sz w:val="22"/>
                <w:szCs w:val="22"/>
              </w:rPr>
            </w:pPr>
            <w:r>
              <w:rPr>
                <w:kern w:val="0"/>
                <w:sz w:val="22"/>
                <w:szCs w:val="22"/>
              </w:rPr>
              <w:t>Fontaines</w:t>
            </w:r>
          </w:p>
        </w:tc>
        <w:tc>
          <w:tcPr>
            <w:tcW w:w="1700"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kern w:val="0"/>
                <w:sz w:val="20"/>
                <w:szCs w:val="20"/>
              </w:rPr>
            </w:pPr>
            <w:r>
              <w:rPr>
                <w:kern w:val="0"/>
                <w:sz w:val="22"/>
                <w:szCs w:val="22"/>
              </w:rPr>
              <w:t>NON</w:t>
            </w:r>
          </w:p>
        </w:tc>
      </w:tr>
      <w:tr>
        <w:trPr/>
        <w:tc>
          <w:tcPr>
            <w:tcW w:w="7583" w:type="dxa"/>
            <w:tcBorders>
              <w:right w:val="single" w:sz="12" w:space="0" w:color="E09926"/>
            </w:tcBorders>
            <w:vAlign w:val="center"/>
          </w:tcPr>
          <w:p>
            <w:pPr>
              <w:pStyle w:val="Normal"/>
              <w:keepLines/>
              <w:spacing w:before="80" w:after="80"/>
              <w:rPr>
                <w:kern w:val="0"/>
                <w:sz w:val="20"/>
                <w:szCs w:val="20"/>
              </w:rPr>
            </w:pPr>
            <w:r>
              <w:rPr>
                <w:kern w:val="0"/>
                <w:sz w:val="22"/>
                <w:szCs w:val="22"/>
              </w:rPr>
              <w:t>Statues</w:t>
            </w:r>
          </w:p>
        </w:tc>
        <w:tc>
          <w:tcPr>
            <w:tcW w:w="1700"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kern w:val="0"/>
                <w:sz w:val="20"/>
                <w:szCs w:val="20"/>
              </w:rPr>
            </w:pPr>
            <w:r>
              <w:rPr>
                <w:kern w:val="0"/>
                <w:sz w:val="22"/>
                <w:szCs w:val="22"/>
              </w:rPr>
              <w:t>NON</w:t>
            </w:r>
          </w:p>
        </w:tc>
      </w:tr>
      <w:tr>
        <w:trPr/>
        <w:tc>
          <w:tcPr>
            <w:tcW w:w="7583" w:type="dxa"/>
            <w:tcBorders>
              <w:right w:val="single" w:sz="12" w:space="0" w:color="E09926"/>
            </w:tcBorders>
            <w:vAlign w:val="center"/>
          </w:tcPr>
          <w:p>
            <w:pPr>
              <w:pStyle w:val="Normal"/>
              <w:keepLines/>
              <w:spacing w:before="80" w:after="80"/>
              <w:rPr>
                <w:kern w:val="0"/>
                <w:sz w:val="20"/>
                <w:szCs w:val="20"/>
              </w:rPr>
            </w:pPr>
            <w:r>
              <w:rPr>
                <w:kern w:val="0"/>
                <w:sz w:val="20"/>
                <w:szCs w:val="20"/>
              </w:rPr>
              <w:t>Autres à préciser</w:t>
            </w:r>
          </w:p>
        </w:tc>
        <w:tc>
          <w:tcPr>
            <w:tcW w:w="1700"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jc w:val="center"/>
              <w:rPr>
                <w:kern w:val="0"/>
                <w:sz w:val="20"/>
                <w:szCs w:val="20"/>
              </w:rPr>
            </w:pPr>
            <w:r>
              <w:rPr>
                <w:kern w:val="0"/>
                <w:sz w:val="22"/>
                <w:szCs w:val="22"/>
              </w:rPr>
              <w:t>NON</w:t>
            </w:r>
          </w:p>
        </w:tc>
      </w:tr>
    </w:tbl>
    <w:p>
      <w:pPr>
        <w:pStyle w:val="Heading1"/>
        <w:rPr/>
      </w:pPr>
      <w:r>
        <w:rPr/>
        <w:t>Autres informations</w:t>
      </w:r>
    </w:p>
    <w:p>
      <w:pPr>
        <w:pStyle w:val="Heading2"/>
        <w:rPr/>
      </w:pPr>
      <w:r>
        <w:rPr/>
        <w:t>Inondations</w:t>
      </w:r>
    </w:p>
    <w:p>
      <w:pPr>
        <w:pStyle w:val="Normal"/>
        <w:keepNext w:val="true"/>
        <w:keepLines/>
        <w:spacing w:before="120" w:after="120"/>
        <w:rPr/>
      </w:pPr>
      <w:r>
        <w:rPr/>
        <w:t xml:space="preserve">Certains bâtiments sont-ils situés en zone inondable ?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 xml:space="preserve">OUI </w:t>
      </w:r>
    </w:p>
    <w:p>
      <w:pPr>
        <w:pStyle w:val="Normal"/>
        <w:keepNext w:val="true"/>
        <w:keepLines/>
        <w:spacing w:before="120" w:after="120"/>
        <w:rPr/>
      </w:pPr>
      <w:r>
        <w:rPr/>
        <w:t xml:space="preserve">Si </w:t>
      </w:r>
      <w:r>
        <w:rPr>
          <w:bCs/>
        </w:rPr>
        <w:t>OUI</w:t>
      </w:r>
      <w:r>
        <w:rPr/>
        <w:t xml:space="preserve">, existe-t-il un PPRI ?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OUI</w:t>
      </w:r>
    </w:p>
    <w:p>
      <w:pPr>
        <w:pStyle w:val="Heading2"/>
        <w:rPr/>
      </w:pPr>
      <w:r>
        <w:rPr/>
        <w:t>Chambres froides</w:t>
      </w:r>
    </w:p>
    <w:p>
      <w:pPr>
        <w:pStyle w:val="Normal"/>
        <w:keepNext w:val="true"/>
        <w:keepLines/>
        <w:spacing w:before="120" w:after="120"/>
        <w:rPr/>
      </w:pPr>
      <w:r>
        <w:rPr/>
        <w:t>Nature et valeur approximative du contenu des chambres froides :</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9284"/>
      </w:tblGrid>
      <w:tr>
        <w:trPr/>
        <w:tc>
          <w:tcPr>
            <w:tcW w:w="9284"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rPr>
                <w:sz w:val="22"/>
                <w:szCs w:val="22"/>
              </w:rPr>
            </w:pPr>
            <w:r>
              <w:rPr>
                <w:kern w:val="0"/>
                <w:sz w:val="22"/>
                <w:szCs w:val="22"/>
              </w:rPr>
              <w:t>Sans objet</w:t>
            </w:r>
          </w:p>
        </w:tc>
      </w:tr>
    </w:tbl>
    <w:p>
      <w:pPr>
        <w:pStyle w:val="Heading2"/>
        <w:rPr/>
      </w:pPr>
      <w:r>
        <w:rPr/>
        <w:t>Vélos à assistance électrique</w:t>
      </w:r>
    </w:p>
    <w:tbl>
      <w:tblPr>
        <w:tblStyle w:val="Grilledutableau"/>
        <w:tblW w:w="9251"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4890"/>
        <w:gridCol w:w="1558"/>
        <w:gridCol w:w="1740"/>
        <w:gridCol w:w="1062"/>
      </w:tblGrid>
      <w:tr>
        <w:trPr/>
        <w:tc>
          <w:tcPr>
            <w:tcW w:w="4890" w:type="dxa"/>
            <w:tcBorders>
              <w:right w:val="single" w:sz="12" w:space="0" w:color="E09926"/>
            </w:tcBorders>
          </w:tcPr>
          <w:p>
            <w:pPr>
              <w:pStyle w:val="Normal"/>
              <w:keepLines/>
              <w:spacing w:before="80" w:after="80"/>
              <w:rPr>
                <w:sz w:val="22"/>
                <w:szCs w:val="22"/>
              </w:rPr>
            </w:pPr>
            <w:r>
              <w:rPr>
                <w:kern w:val="0"/>
                <w:sz w:val="22"/>
                <w:szCs w:val="22"/>
              </w:rPr>
              <w:t>Le souscripteur possède-t-il des VAE ?</w:t>
            </w:r>
          </w:p>
        </w:tc>
        <w:tc>
          <w:tcPr>
            <w:tcW w:w="1558" w:type="dxa"/>
            <w:tcBorders>
              <w:top w:val="single" w:sz="12" w:space="0" w:color="E09926"/>
              <w:left w:val="single" w:sz="12" w:space="0" w:color="E09926"/>
              <w:bottom w:val="single" w:sz="12" w:space="0" w:color="E09926"/>
              <w:right w:val="single" w:sz="12" w:space="0" w:color="E09926"/>
            </w:tcBorders>
          </w:tcPr>
          <w:p>
            <w:pPr>
              <w:pStyle w:val="Normal"/>
              <w:keepLines/>
              <w:spacing w:before="80" w:after="80"/>
              <w:rPr>
                <w:sz w:val="22"/>
                <w:szCs w:val="22"/>
              </w:rPr>
            </w:pPr>
            <w:r>
              <w:rPr>
                <w:kern w:val="0"/>
                <w:sz w:val="22"/>
                <w:szCs w:val="22"/>
              </w:rPr>
              <w:t xml:space="preserve">OUI </w:t>
            </w:r>
          </w:p>
        </w:tc>
        <w:tc>
          <w:tcPr>
            <w:tcW w:w="1740" w:type="dxa"/>
            <w:tcBorders>
              <w:left w:val="single" w:sz="12" w:space="0" w:color="E09926"/>
              <w:right w:val="single" w:sz="12" w:space="0" w:color="E09926"/>
            </w:tcBorders>
          </w:tcPr>
          <w:p>
            <w:pPr>
              <w:pStyle w:val="Normal"/>
              <w:keepLines/>
              <w:spacing w:before="80" w:after="80"/>
              <w:rPr>
                <w:sz w:val="22"/>
                <w:szCs w:val="22"/>
              </w:rPr>
            </w:pPr>
            <w:r>
              <w:rPr>
                <w:kern w:val="0"/>
                <w:sz w:val="22"/>
                <w:szCs w:val="22"/>
              </w:rPr>
              <w:t>Si oui nombre :</w:t>
            </w:r>
          </w:p>
        </w:tc>
        <w:tc>
          <w:tcPr>
            <w:tcW w:w="1062" w:type="dxa"/>
            <w:tcBorders>
              <w:top w:val="single" w:sz="12" w:space="0" w:color="E09926"/>
              <w:left w:val="single" w:sz="12" w:space="0" w:color="E09926"/>
              <w:bottom w:val="single" w:sz="12" w:space="0" w:color="E09926"/>
              <w:right w:val="single" w:sz="12" w:space="0" w:color="E09926"/>
            </w:tcBorders>
          </w:tcPr>
          <w:p>
            <w:pPr>
              <w:pStyle w:val="Normal"/>
              <w:keepLines/>
              <w:spacing w:before="80" w:after="80"/>
              <w:jc w:val="center"/>
              <w:rPr>
                <w:sz w:val="22"/>
                <w:szCs w:val="22"/>
              </w:rPr>
            </w:pPr>
            <w:r>
              <w:rPr>
                <w:kern w:val="0"/>
                <w:sz w:val="22"/>
                <w:szCs w:val="22"/>
              </w:rPr>
              <w:t>8</w:t>
            </w:r>
          </w:p>
        </w:tc>
      </w:tr>
    </w:tbl>
    <w:p>
      <w:pPr>
        <w:pStyle w:val="Heading2"/>
        <w:rPr/>
      </w:pPr>
      <w:r>
        <w:rPr/>
        <w:t>Sapeurs-pompiers volontaires</w:t>
      </w:r>
    </w:p>
    <w:p>
      <w:pPr>
        <w:pStyle w:val="BodyTextIndent2"/>
        <w:keepNext w:val="true"/>
        <w:keepLines/>
        <w:tabs>
          <w:tab w:val="clear" w:pos="708"/>
          <w:tab w:val="left" w:pos="1985" w:leader="none"/>
          <w:tab w:val="left" w:pos="3402" w:leader="none"/>
        </w:tabs>
        <w:spacing w:lineRule="auto" w:line="240" w:before="120" w:after="120"/>
        <w:ind w:hanging="0" w:left="0"/>
        <w:rPr/>
      </w:pPr>
      <w:r>
        <w:rPr/>
        <w:t>Nombre de préposés du souscripteur ayant la qualité de sapeurs-pompiers volontaires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hanging="0" w:left="3686" w:right="3684"/>
        <w:jc w:val="right"/>
        <w:rPr/>
      </w:pPr>
      <w:r>
        <w:rPr/>
        <w:t>non connu</w:t>
      </w:r>
    </w:p>
    <w:p>
      <w:pPr>
        <w:pStyle w:val="Normal"/>
        <w:widowControl/>
        <w:ind w:firstLine="360"/>
        <w:jc w:val="left"/>
        <w:rPr>
          <w:sz w:val="2"/>
          <w:szCs w:val="2"/>
        </w:rPr>
      </w:pPr>
      <w:r>
        <w:rPr>
          <w:sz w:val="2"/>
          <w:szCs w:val="2"/>
        </w:rPr>
        <w:t xml:space="preserve"> </w:t>
      </w:r>
    </w:p>
    <w:p>
      <w:pPr>
        <w:pStyle w:val="Heading2"/>
        <w:rPr/>
      </w:pPr>
      <w:bookmarkStart w:id="5" w:name="_Toc261440696"/>
      <w:bookmarkStart w:id="6" w:name="_Hlk115027525"/>
      <w:bookmarkEnd w:id="5"/>
      <w:r>
        <w:rPr/>
        <w:t>Renonciations à recours</w:t>
      </w:r>
    </w:p>
    <w:p>
      <w:pPr>
        <w:pStyle w:val="Heading3"/>
        <w:rPr/>
      </w:pPr>
      <w:r>
        <w:rPr/>
        <w:t>Au bénéfice du souscripteur</w:t>
      </w:r>
    </w:p>
    <w:p>
      <w:pPr>
        <w:pStyle w:val="Normal"/>
        <w:keepNext w:val="true"/>
        <w:keepLines/>
        <w:spacing w:before="120" w:after="120"/>
        <w:rPr/>
      </w:pPr>
      <w:r>
        <w:rPr/>
        <w:t>Existe-t-il des conventions de renonciation à recours dans les baux (ou conventions de mise à disposition) passées par le souscripteur pour des locaux dont il est locataire ou occupant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 xml:space="preserve"> </w:t>
      </w:r>
      <w:r>
        <w:rPr/>
        <w:t>NON</w:t>
      </w:r>
    </w:p>
    <w:p>
      <w:pPr>
        <w:pStyle w:val="Normal"/>
        <w:keepNext w:val="true"/>
        <w:keepLines/>
        <w:spacing w:before="120" w:after="120"/>
        <w:rPr/>
      </w:pPr>
      <w:r>
        <w:rPr/>
        <w:t>Existe-t-il des conventions de renonciation à recours dans les baux (ou conventions de mise à disposition) passées par le souscripteur pour des locaux dont il est propriétaire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 xml:space="preserve"> </w:t>
      </w:r>
      <w:r>
        <w:rPr/>
        <w:t>NON</w:t>
      </w:r>
    </w:p>
    <w:p>
      <w:pPr>
        <w:pStyle w:val="Normal"/>
        <w:keepLines/>
        <w:widowControl/>
        <w:spacing w:before="240" w:after="0"/>
        <w:rPr/>
      </w:pPr>
      <w:r>
        <w:rPr/>
        <w:t xml:space="preserve">En cas de réponse positive à l’une des deux questions ci-avant, </w:t>
      </w:r>
      <w:r>
        <w:rPr>
          <w:b/>
          <w:bCs/>
        </w:rPr>
        <w:t>joindre la liste des bâtiments concernés</w:t>
      </w:r>
      <w:r>
        <w:rPr/>
        <w:t xml:space="preserve">. </w:t>
      </w:r>
    </w:p>
    <w:p>
      <w:pPr>
        <w:pStyle w:val="Heading3"/>
        <w:rPr/>
      </w:pPr>
      <w:r>
        <w:rPr/>
        <w:t>Accordées par le souscripteur</w:t>
      </w:r>
    </w:p>
    <w:p>
      <w:pPr>
        <w:pStyle w:val="Normal"/>
        <w:keepNext w:val="true"/>
        <w:keepLines/>
        <w:spacing w:before="120" w:after="120"/>
        <w:rPr/>
      </w:pPr>
      <w:bookmarkStart w:id="7" w:name="_Hlk115027525"/>
      <w:r>
        <w:rPr/>
        <w:t>Existe-t-il des conventions de renonciation à recours dans les baux (ou conventions de mise à disposition) passées par le souscripteur pour des locaux dont il est locataire ou occupant ?</w:t>
      </w:r>
      <w:bookmarkEnd w:id="7"/>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NON</w:t>
      </w:r>
    </w:p>
    <w:p>
      <w:pPr>
        <w:pStyle w:val="Normal"/>
        <w:keepNext w:val="true"/>
        <w:keepLines/>
        <w:spacing w:before="120" w:after="120"/>
        <w:rPr/>
      </w:pPr>
      <w:r>
        <w:rPr/>
        <w:t>Existe-t-il des conventions de renonciation à recours dans les baux (ou conventions de mise à disposition) passées par le souscripteur pour des locaux dont il est propriétaire ?</w:t>
      </w:r>
    </w:p>
    <w:p>
      <w:pPr>
        <w:pStyle w:val="Normal"/>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before="0" w:after="220"/>
        <w:ind w:hanging="0" w:left="3969" w:right="3969"/>
        <w:jc w:val="center"/>
        <w:rPr/>
      </w:pPr>
      <w:r>
        <w:rPr/>
        <w:t>NON</w:t>
      </w:r>
    </w:p>
    <w:p>
      <w:pPr>
        <w:pStyle w:val="Normal"/>
        <w:keepLines/>
        <w:widowControl/>
        <w:spacing w:before="240" w:after="0"/>
        <w:rPr/>
      </w:pPr>
      <w:r>
        <w:rPr/>
        <w:t xml:space="preserve">En cas de réponse positive à l’une des deux questions ci-avant, </w:t>
      </w:r>
      <w:r>
        <w:rPr>
          <w:b/>
          <w:bCs/>
        </w:rPr>
        <w:t>joindre la liste des bâtiments concernés</w:t>
      </w:r>
      <w:r>
        <w:rPr/>
        <w:t xml:space="preserve">. </w:t>
      </w:r>
    </w:p>
    <w:p>
      <w:pPr>
        <w:pStyle w:val="Normal"/>
        <w:keepLines/>
        <w:widowControl/>
        <w:spacing w:before="120" w:after="0"/>
        <w:rPr/>
      </w:pPr>
      <w:r>
        <w:rPr/>
        <w:t xml:space="preserve">En cas de réponse positive à la question ci-avant, </w:t>
      </w:r>
      <w:r>
        <w:rPr>
          <w:b/>
          <w:bCs/>
        </w:rPr>
        <w:t>préciser le nom et la qualité des occupants ainsi que la nature de l’activité exercée</w:t>
      </w:r>
      <w:r>
        <w:rPr/>
        <w:t xml:space="preserve">. </w:t>
      </w:r>
    </w:p>
    <w:p>
      <w:pPr>
        <w:pStyle w:val="Normal"/>
        <w:keepLines/>
        <w:widowControl/>
        <w:spacing w:before="120" w:after="0"/>
        <w:rPr/>
      </w:pPr>
      <w:r>
        <w:rPr/>
        <w:t xml:space="preserve">Dans les deux cas, </w:t>
      </w:r>
      <w:r>
        <w:rPr>
          <w:b/>
          <w:bCs/>
        </w:rPr>
        <w:t>joindre les conventions ou baux concernés.</w:t>
      </w:r>
      <w:r>
        <w:rPr/>
        <w:t xml:space="preserve"> </w:t>
      </w:r>
    </w:p>
    <w:p>
      <w:pPr>
        <w:pStyle w:val="Heading2"/>
        <w:rPr/>
      </w:pPr>
      <w:r>
        <w:rPr/>
        <w:t>Autres informations que le souscripteur souhaite porter à la connaissance de l’assureur</w:t>
      </w:r>
    </w:p>
    <w:tbl>
      <w:tblPr>
        <w:tblStyle w:val="Grilledutableau"/>
        <w:tblW w:w="9284" w:type="dxa"/>
        <w:jc w:val="left"/>
        <w:tblInd w:w="38" w:type="dxa"/>
        <w:tblLayout w:type="fixed"/>
        <w:tblCellMar>
          <w:top w:w="0" w:type="dxa"/>
          <w:left w:w="108" w:type="dxa"/>
          <w:bottom w:w="0" w:type="dxa"/>
          <w:right w:w="108" w:type="dxa"/>
        </w:tblCellMar>
        <w:tblLook w:firstRow="1" w:noVBand="1" w:lastRow="0" w:firstColumn="1" w:lastColumn="0" w:noHBand="0" w:val="04a0"/>
      </w:tblPr>
      <w:tblGrid>
        <w:gridCol w:w="9284"/>
      </w:tblGrid>
      <w:tr>
        <w:trPr/>
        <w:tc>
          <w:tcPr>
            <w:tcW w:w="9284" w:type="dxa"/>
            <w:tcBorders>
              <w:top w:val="single" w:sz="12" w:space="0" w:color="E09926"/>
              <w:left w:val="single" w:sz="12" w:space="0" w:color="E09926"/>
              <w:bottom w:val="single" w:sz="12" w:space="0" w:color="E09926"/>
              <w:right w:val="single" w:sz="12" w:space="0" w:color="E09926"/>
            </w:tcBorders>
            <w:vAlign w:val="center"/>
          </w:tcPr>
          <w:p>
            <w:pPr>
              <w:pStyle w:val="Normal"/>
              <w:keepLines/>
              <w:spacing w:before="80" w:after="80"/>
              <w:rPr>
                <w:sz w:val="22"/>
                <w:szCs w:val="22"/>
              </w:rPr>
            </w:pPr>
            <w:r>
              <w:rPr>
                <w:kern w:val="0"/>
                <w:sz w:val="22"/>
                <w:szCs w:val="22"/>
              </w:rPr>
            </w:r>
          </w:p>
        </w:tc>
      </w:tr>
    </w:tbl>
    <w:p>
      <w:pPr>
        <w:pStyle w:val="Normal"/>
        <w:widowControl/>
        <w:spacing w:before="0" w:after="480"/>
        <w:rPr/>
      </w:pPr>
      <w:r>
        <w:rPr/>
      </w:r>
    </w:p>
    <w:sectPr>
      <w:footerReference w:type="even" r:id="rId7"/>
      <w:footerReference w:type="default" r:id="rId8"/>
      <w:footerReference w:type="first" r:id="rId9"/>
      <w:type w:val="nextPage"/>
      <w:pgSz w:w="11906" w:h="16838"/>
      <w:pgMar w:left="1417" w:right="1417" w:gutter="0" w:header="0" w:top="1417" w:footer="720" w:bottom="1417"/>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1"/>
    <w:family w:val="auto"/>
    <w:pitch w:val="default"/>
  </w:font>
  <w:font w:name="Arial Gras">
    <w:charset w:val="01"/>
    <w:family w:val="auto"/>
    <w:pitch w:val="default"/>
  </w:font>
  <w:font w:name="Tahoma">
    <w:charset w:val="01"/>
    <w:family w:val="auto"/>
    <w:pitch w:val="default"/>
  </w:font>
  <w:font w:name="Marianne">
    <w:charset w:val="01"/>
    <w:family w:val="auto"/>
    <w:pitch w:val="default"/>
  </w:font>
  <w:font w:name="Times New Roman">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sz w:val="22"/>
        <w:szCs w:val="22"/>
      </w:rPr>
      <w:t xml:space="preserve">Assurance « dommages aux biens et risques annexes » - Page </w:t>
    </w:r>
    <w:r>
      <w:rPr>
        <w:sz w:val="22"/>
        <w:szCs w:val="22"/>
      </w:rPr>
      <w:fldChar w:fldCharType="begin"/>
    </w:r>
    <w:r>
      <w:rPr>
        <w:sz w:val="22"/>
        <w:szCs w:val="22"/>
      </w:rPr>
      <w:instrText xml:space="preserve"> PAGE </w:instrText>
    </w:r>
    <w:r>
      <w:rPr>
        <w:sz w:val="22"/>
        <w:szCs w:val="22"/>
      </w:rPr>
      <w:fldChar w:fldCharType="separate"/>
    </w:r>
    <w:r>
      <w:rPr>
        <w:sz w:val="22"/>
        <w:szCs w:val="22"/>
      </w:rPr>
      <w:t>2</w:t>
    </w:r>
    <w:r>
      <w:rPr>
        <w:sz w:val="22"/>
        <w:szCs w:val="22"/>
      </w:rPr>
      <w:fldChar w:fldCharType="end"/>
    </w:r>
    <w:r>
      <w:rPr>
        <w:sz w:val="22"/>
        <w:szCs w:val="22"/>
      </w:rPr>
      <w:t>/</w:t>
    </w:r>
    <w:r>
      <w:rPr>
        <w:sz w:val="22"/>
        <w:szCs w:val="22"/>
      </w:rPr>
      <w:t>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sz w:val="22"/>
        <w:szCs w:val="22"/>
      </w:rPr>
      <w:t xml:space="preserve">Assurance « dommages aux biens et risques annexes » - Page </w:t>
    </w:r>
    <w:r>
      <w:rPr>
        <w:sz w:val="22"/>
        <w:szCs w:val="22"/>
      </w:rPr>
      <w:fldChar w:fldCharType="begin"/>
    </w:r>
    <w:r>
      <w:rPr>
        <w:sz w:val="22"/>
        <w:szCs w:val="22"/>
      </w:rPr>
      <w:instrText xml:space="preserve"> PAGE </w:instrText>
    </w:r>
    <w:r>
      <w:rPr>
        <w:sz w:val="22"/>
        <w:szCs w:val="22"/>
      </w:rPr>
      <w:fldChar w:fldCharType="separate"/>
    </w:r>
    <w:r>
      <w:rPr>
        <w:sz w:val="22"/>
        <w:szCs w:val="22"/>
      </w:rPr>
      <w:t>2</w:t>
    </w:r>
    <w:r>
      <w:rPr>
        <w:sz w:val="22"/>
        <w:szCs w:val="22"/>
      </w:rPr>
      <w:fldChar w:fldCharType="end"/>
    </w:r>
    <w:r>
      <w:rPr>
        <w:sz w:val="22"/>
        <w:szCs w:val="22"/>
      </w:rPr>
      <w:t>/</w:t>
    </w:r>
    <w:r>
      <w:rPr>
        <w:sz w:val="22"/>
        <w:szCs w:val="22"/>
      </w:rPr>
      <w:t>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720"/>
      </w:pPr>
      <w:rPr/>
    </w:lvl>
    <w:lvl w:ilvl="1">
      <w:start w:val="1"/>
      <w:numFmt w:val="decimal"/>
      <w:lvlText w:val="%2."/>
      <w:lvlJc w:val="left"/>
      <w:pPr>
        <w:tabs>
          <w:tab w:val="num" w:pos="1440"/>
        </w:tabs>
        <w:ind w:left="1440" w:hanging="720"/>
      </w:pPr>
      <w:rPr/>
    </w:lvl>
    <w:lvl w:ilvl="2">
      <w:start w:val="1"/>
      <w:numFmt w:val="decimal"/>
      <w:lvlText w:val="%3."/>
      <w:lvlJc w:val="left"/>
      <w:pPr>
        <w:tabs>
          <w:tab w:val="num" w:pos="2160"/>
        </w:tabs>
        <w:ind w:left="2160" w:hanging="720"/>
      </w:pPr>
      <w:rPr/>
    </w:lvl>
    <w:lvl w:ilvl="3">
      <w:start w:val="1"/>
      <w:numFmt w:val="decimal"/>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decimal"/>
      <w:lvlText w:val="%6."/>
      <w:lvlJc w:val="left"/>
      <w:pPr>
        <w:tabs>
          <w:tab w:val="num" w:pos="4320"/>
        </w:tabs>
        <w:ind w:left="4320" w:hanging="720"/>
      </w:pPr>
      <w:rPr/>
    </w:lvl>
    <w:lvl w:ilvl="6">
      <w:start w:val="1"/>
      <w:numFmt w:val="decimal"/>
      <w:lvlText w:val="%7."/>
      <w:lvlJc w:val="left"/>
      <w:pPr>
        <w:tabs>
          <w:tab w:val="num" w:pos="5040"/>
        </w:tabs>
        <w:ind w:left="5040" w:hanging="720"/>
      </w:pPr>
      <w:rPr/>
    </w:lvl>
    <w:lvl w:ilvl="7">
      <w:start w:val="1"/>
      <w:numFmt w:val="decimal"/>
      <w:lvlText w:val="%8."/>
      <w:lvlJc w:val="left"/>
      <w:pPr>
        <w:tabs>
          <w:tab w:val="num" w:pos="5760"/>
        </w:tabs>
        <w:ind w:left="5760" w:hanging="720"/>
      </w:pPr>
      <w:rPr/>
    </w:lvl>
    <w:lvl w:ilvl="8">
      <w:start w:val="1"/>
      <w:numFmt w:val="decimal"/>
      <w:lvlText w:val="%9."/>
      <w:lvlJc w:val="left"/>
      <w:pPr>
        <w:tabs>
          <w:tab w:val="num" w:pos="6480"/>
        </w:tabs>
        <w:ind w:left="6480" w:hanging="72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useWord2013TrackBottomHyphenation" w:uri="http://schemas.microsoft.com/office/word" w:val="1"/>
  </w:compat>
  <w:themeFontLang w:val="fr-F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ＭＳ Ｐゴシック" w:cs="" w:asciiTheme="minorHAnsi" w:cstheme="minorBidi" w:eastAsiaTheme="minorEastAsia" w:hAnsiTheme="minorHAnsi"/>
        <w:sz w:val="22"/>
        <w:szCs w:val="22"/>
        <w:lang w:val="en-US" w:eastAsia="en-US" w:bidi="en-US"/>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603f5"/>
    <w:pPr>
      <w:widowControl w:val="false"/>
      <w:bidi w:val="0"/>
      <w:spacing w:before="0" w:after="0"/>
      <w:ind w:hanging="0"/>
      <w:jc w:val="both"/>
    </w:pPr>
    <w:rPr>
      <w:rFonts w:ascii="Arial" w:hAnsi="Arial" w:eastAsia="Times New Roman" w:cs="Arial" w:asciiTheme="minorHAnsi" w:hAnsiTheme="minorHAnsi"/>
      <w:color w:val="auto"/>
      <w:kern w:val="0"/>
      <w:sz w:val="22"/>
      <w:szCs w:val="22"/>
      <w:lang w:val="fr-FR" w:eastAsia="fr-FR" w:bidi="ar-SA"/>
    </w:rPr>
  </w:style>
  <w:style w:type="paragraph" w:styleId="Heading1">
    <w:name w:val="Heading 1"/>
    <w:basedOn w:val="Normal"/>
    <w:next w:val="Normal"/>
    <w:link w:val="Titre1Car"/>
    <w:qFormat/>
    <w:rsid w:val="00202886"/>
    <w:pPr>
      <w:keepNext w:val="true"/>
      <w:keepLines/>
      <w:pBdr>
        <w:bottom w:val="single" w:sz="12" w:space="1" w:color="436E91" w:themeColor="accent1"/>
      </w:pBdr>
      <w:spacing w:before="300" w:after="80"/>
      <w:outlineLvl w:val="0"/>
    </w:pPr>
    <w:rPr>
      <w:rFonts w:ascii="Arial Gras" w:hAnsi="Arial Gras"/>
      <w:b/>
      <w:bCs/>
      <w:caps/>
      <w:color w:themeColor="accent1" w:val="436E91"/>
      <w:sz w:val="36"/>
      <w:szCs w:val="36"/>
    </w:rPr>
  </w:style>
  <w:style w:type="paragraph" w:styleId="Heading2">
    <w:name w:val="Heading 2"/>
    <w:basedOn w:val="Normal"/>
    <w:next w:val="Normal"/>
    <w:link w:val="Titre2Car"/>
    <w:unhideWhenUsed/>
    <w:qFormat/>
    <w:rsid w:val="00202886"/>
    <w:pPr>
      <w:keepNext w:val="true"/>
      <w:keepLines/>
      <w:pBdr>
        <w:bottom w:val="single" w:sz="12" w:space="1" w:color="A2C037" w:themeColor="accent6"/>
      </w:pBdr>
      <w:tabs>
        <w:tab w:val="clear" w:pos="708"/>
        <w:tab w:val="left" w:pos="1560" w:leader="none"/>
      </w:tabs>
      <w:spacing w:before="360" w:after="120"/>
      <w:outlineLvl w:val="1"/>
    </w:pPr>
    <w:rPr>
      <w:caps/>
      <w:color w:themeColor="accent1" w:val="436E91"/>
      <w:sz w:val="28"/>
      <w:szCs w:val="28"/>
    </w:rPr>
  </w:style>
  <w:style w:type="paragraph" w:styleId="Heading3">
    <w:name w:val="Heading 3"/>
    <w:basedOn w:val="Normal"/>
    <w:next w:val="Normal"/>
    <w:link w:val="Titre3Car"/>
    <w:unhideWhenUsed/>
    <w:qFormat/>
    <w:rsid w:val="000a41c1"/>
    <w:pPr>
      <w:keepNext w:val="true"/>
      <w:keepLines/>
      <w:pBdr>
        <w:bottom w:val="single" w:sz="4" w:space="0" w:color="8EAADB"/>
      </w:pBdr>
      <w:spacing w:before="360" w:after="120"/>
      <w:outlineLvl w:val="2"/>
    </w:pPr>
    <w:rPr>
      <w:b/>
      <w:bCs/>
      <w:color w:themeColor="accent1" w:val="436E91"/>
      <w:sz w:val="24"/>
      <w:szCs w:val="24"/>
    </w:rPr>
  </w:style>
  <w:style w:type="paragraph" w:styleId="Heading4">
    <w:name w:val="Heading 4"/>
    <w:basedOn w:val="Normal"/>
    <w:next w:val="Normal"/>
    <w:link w:val="Titre4Car"/>
    <w:unhideWhenUsed/>
    <w:qFormat/>
    <w:rsid w:val="00c93fbe"/>
    <w:pPr>
      <w:pBdr>
        <w:bottom w:val="single" w:sz="4" w:space="2" w:color="ADC5D9" w:themeColor="accent1" w:themeTint="66"/>
      </w:pBdr>
      <w:spacing w:before="200" w:after="80"/>
      <w:outlineLvl w:val="3"/>
    </w:pPr>
    <w:rPr>
      <w:rFonts w:ascii="Arial" w:hAnsi="Arial" w:eastAsia="ＭＳ Ｐゴシック" w:cs="" w:asciiTheme="majorHAnsi" w:cstheme="majorBidi" w:eastAsiaTheme="majorEastAsia" w:hAnsiTheme="majorHAnsi"/>
      <w:i/>
      <w:iCs/>
      <w:color w:themeColor="accent1" w:val="436E91"/>
      <w:sz w:val="24"/>
      <w:szCs w:val="24"/>
    </w:rPr>
  </w:style>
  <w:style w:type="paragraph" w:styleId="Heading5">
    <w:name w:val="Heading 5"/>
    <w:basedOn w:val="Normal"/>
    <w:next w:val="Normal"/>
    <w:link w:val="Titre5Car"/>
    <w:unhideWhenUsed/>
    <w:qFormat/>
    <w:rsid w:val="00c93fbe"/>
    <w:pPr>
      <w:spacing w:before="200" w:after="80"/>
      <w:outlineLvl w:val="4"/>
    </w:pPr>
    <w:rPr>
      <w:rFonts w:ascii="Arial" w:hAnsi="Arial" w:eastAsia="ＭＳ Ｐゴシック" w:cs="" w:asciiTheme="majorHAnsi" w:cstheme="majorBidi" w:eastAsiaTheme="majorEastAsia" w:hAnsiTheme="majorHAnsi"/>
      <w:color w:themeColor="accent1" w:val="436E91"/>
    </w:rPr>
  </w:style>
  <w:style w:type="paragraph" w:styleId="Heading6">
    <w:name w:val="Heading 6"/>
    <w:basedOn w:val="Normal"/>
    <w:next w:val="Normal"/>
    <w:link w:val="Titre6Car"/>
    <w:uiPriority w:val="9"/>
    <w:unhideWhenUsed/>
    <w:qFormat/>
    <w:rsid w:val="00c93fbe"/>
    <w:pPr>
      <w:spacing w:before="280" w:after="100"/>
      <w:outlineLvl w:val="5"/>
    </w:pPr>
    <w:rPr>
      <w:rFonts w:ascii="Arial" w:hAnsi="Arial" w:eastAsia="ＭＳ Ｐゴシック" w:cs="" w:asciiTheme="majorHAnsi" w:cstheme="majorBidi" w:eastAsiaTheme="majorEastAsia" w:hAnsiTheme="majorHAnsi"/>
      <w:i/>
      <w:iCs/>
      <w:color w:themeColor="accent1" w:val="436E91"/>
    </w:rPr>
  </w:style>
  <w:style w:type="paragraph" w:styleId="Heading7">
    <w:name w:val="Heading 7"/>
    <w:basedOn w:val="Normal"/>
    <w:next w:val="Normal"/>
    <w:link w:val="Titre7Car"/>
    <w:uiPriority w:val="9"/>
    <w:unhideWhenUsed/>
    <w:qFormat/>
    <w:rsid w:val="00c93fbe"/>
    <w:pPr>
      <w:spacing w:before="320" w:after="100"/>
      <w:outlineLvl w:val="6"/>
    </w:pPr>
    <w:rPr>
      <w:rFonts w:ascii="Arial" w:hAnsi="Arial" w:eastAsia="ＭＳ Ｐゴシック" w:cs="" w:asciiTheme="majorHAnsi" w:cstheme="majorBidi" w:eastAsiaTheme="majorEastAsia" w:hAnsiTheme="majorHAnsi"/>
      <w:b/>
      <w:bCs/>
      <w:color w:themeColor="accent3" w:val="6DA6B9"/>
      <w:sz w:val="20"/>
      <w:szCs w:val="20"/>
    </w:rPr>
  </w:style>
  <w:style w:type="paragraph" w:styleId="Heading8">
    <w:name w:val="Heading 8"/>
    <w:basedOn w:val="Normal"/>
    <w:next w:val="Normal"/>
    <w:link w:val="Titre8Car"/>
    <w:uiPriority w:val="9"/>
    <w:unhideWhenUsed/>
    <w:qFormat/>
    <w:rsid w:val="00c93fbe"/>
    <w:pPr>
      <w:spacing w:before="320" w:after="100"/>
      <w:outlineLvl w:val="7"/>
    </w:pPr>
    <w:rPr>
      <w:rFonts w:ascii="Arial" w:hAnsi="Arial" w:eastAsia="ＭＳ Ｐゴシック" w:cs="" w:asciiTheme="majorHAnsi" w:cstheme="majorBidi" w:eastAsiaTheme="majorEastAsia" w:hAnsiTheme="majorHAnsi"/>
      <w:b/>
      <w:bCs/>
      <w:i/>
      <w:iCs/>
      <w:color w:themeColor="accent3" w:val="6DA6B9"/>
      <w:sz w:val="20"/>
      <w:szCs w:val="20"/>
    </w:rPr>
  </w:style>
  <w:style w:type="paragraph" w:styleId="Heading9">
    <w:name w:val="Heading 9"/>
    <w:basedOn w:val="Normal"/>
    <w:next w:val="Normal"/>
    <w:link w:val="Titre9Car"/>
    <w:uiPriority w:val="9"/>
    <w:unhideWhenUsed/>
    <w:qFormat/>
    <w:rsid w:val="00c93fbe"/>
    <w:pPr>
      <w:spacing w:before="320" w:after="100"/>
      <w:outlineLvl w:val="8"/>
    </w:pPr>
    <w:rPr>
      <w:rFonts w:ascii="Arial" w:hAnsi="Arial" w:eastAsia="ＭＳ Ｐゴシック" w:cs="" w:asciiTheme="majorHAnsi" w:cstheme="majorBidi" w:eastAsiaTheme="majorEastAsia" w:hAnsiTheme="majorHAnsi"/>
      <w:i/>
      <w:iCs/>
      <w:color w:themeColor="accent3" w:val="6DA6B9"/>
      <w:sz w:val="20"/>
      <w:szCs w:val="20"/>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qFormat/>
    <w:rsid w:val="00202886"/>
    <w:rPr>
      <w:rFonts w:ascii="Arial Gras" w:hAnsi="Arial Gras" w:eastAsia="Times New Roman" w:cs="Arial"/>
      <w:b/>
      <w:bCs/>
      <w:caps/>
      <w:color w:themeColor="accent1" w:val="436E91"/>
      <w:sz w:val="36"/>
      <w:szCs w:val="36"/>
      <w:lang w:val="fr-FR" w:eastAsia="fr-FR" w:bidi="ar-SA"/>
    </w:rPr>
  </w:style>
  <w:style w:type="character" w:styleId="Titre2Car" w:customStyle="1">
    <w:name w:val="Titre 2 Car"/>
    <w:basedOn w:val="DefaultParagraphFont"/>
    <w:qFormat/>
    <w:rsid w:val="00202886"/>
    <w:rPr>
      <w:rFonts w:ascii="Arial" w:hAnsi="Arial" w:eastAsia="Times New Roman" w:cs="Arial"/>
      <w:caps/>
      <w:color w:themeColor="accent1" w:val="436E91"/>
      <w:sz w:val="28"/>
      <w:szCs w:val="28"/>
      <w:lang w:val="fr-FR" w:eastAsia="fr-FR" w:bidi="ar-SA"/>
    </w:rPr>
  </w:style>
  <w:style w:type="character" w:styleId="Titre3Car" w:customStyle="1">
    <w:name w:val="Titre 3 Car"/>
    <w:basedOn w:val="DefaultParagraphFont"/>
    <w:qFormat/>
    <w:rsid w:val="000a41c1"/>
    <w:rPr>
      <w:rFonts w:ascii="Arial" w:hAnsi="Arial" w:eastAsia="Times New Roman" w:cs="Arial"/>
      <w:b/>
      <w:bCs/>
      <w:color w:themeColor="accent1" w:val="436E91"/>
      <w:sz w:val="24"/>
      <w:szCs w:val="24"/>
      <w:lang w:val="fr-FR" w:eastAsia="fr-FR" w:bidi="ar-SA"/>
    </w:rPr>
  </w:style>
  <w:style w:type="character" w:styleId="Titre4Car" w:customStyle="1">
    <w:name w:val="Titre 4 Car"/>
    <w:basedOn w:val="DefaultParagraphFont"/>
    <w:uiPriority w:val="9"/>
    <w:qFormat/>
    <w:rsid w:val="00c93fbe"/>
    <w:rPr>
      <w:rFonts w:ascii="Arial" w:hAnsi="Arial" w:eastAsia="ＭＳ Ｐゴシック" w:cs="" w:asciiTheme="majorHAnsi" w:cstheme="majorBidi" w:eastAsiaTheme="majorEastAsia" w:hAnsiTheme="majorHAnsi"/>
      <w:i/>
      <w:iCs/>
      <w:color w:themeColor="accent1" w:val="436E91"/>
      <w:sz w:val="24"/>
      <w:szCs w:val="24"/>
    </w:rPr>
  </w:style>
  <w:style w:type="character" w:styleId="Titre5Car" w:customStyle="1">
    <w:name w:val="Titre 5 Car"/>
    <w:basedOn w:val="DefaultParagraphFont"/>
    <w:uiPriority w:val="9"/>
    <w:qFormat/>
    <w:rsid w:val="00c93fbe"/>
    <w:rPr>
      <w:rFonts w:ascii="Arial" w:hAnsi="Arial" w:eastAsia="ＭＳ Ｐゴシック" w:cs="" w:asciiTheme="majorHAnsi" w:cstheme="majorBidi" w:eastAsiaTheme="majorEastAsia" w:hAnsiTheme="majorHAnsi"/>
      <w:color w:themeColor="accent1" w:val="436E91"/>
    </w:rPr>
  </w:style>
  <w:style w:type="character" w:styleId="Titre6Car" w:customStyle="1">
    <w:name w:val="Titre 6 Car"/>
    <w:basedOn w:val="DefaultParagraphFont"/>
    <w:uiPriority w:val="9"/>
    <w:qFormat/>
    <w:rsid w:val="00c93fbe"/>
    <w:rPr>
      <w:rFonts w:ascii="Arial" w:hAnsi="Arial" w:eastAsia="ＭＳ Ｐゴシック" w:cs="" w:asciiTheme="majorHAnsi" w:cstheme="majorBidi" w:eastAsiaTheme="majorEastAsia" w:hAnsiTheme="majorHAnsi"/>
      <w:i/>
      <w:iCs/>
      <w:color w:themeColor="accent1" w:val="436E91"/>
    </w:rPr>
  </w:style>
  <w:style w:type="character" w:styleId="Titre7Car" w:customStyle="1">
    <w:name w:val="Titre 7 Car"/>
    <w:basedOn w:val="DefaultParagraphFont"/>
    <w:uiPriority w:val="9"/>
    <w:qFormat/>
    <w:rsid w:val="00c93fbe"/>
    <w:rPr>
      <w:rFonts w:ascii="Arial" w:hAnsi="Arial" w:eastAsia="ＭＳ Ｐゴシック" w:cs="" w:asciiTheme="majorHAnsi" w:cstheme="majorBidi" w:eastAsiaTheme="majorEastAsia" w:hAnsiTheme="majorHAnsi"/>
      <w:b/>
      <w:bCs/>
      <w:color w:themeColor="accent3" w:val="6DA6B9"/>
      <w:sz w:val="20"/>
      <w:szCs w:val="20"/>
    </w:rPr>
  </w:style>
  <w:style w:type="character" w:styleId="Titre8Car" w:customStyle="1">
    <w:name w:val="Titre 8 Car"/>
    <w:basedOn w:val="DefaultParagraphFont"/>
    <w:uiPriority w:val="9"/>
    <w:qFormat/>
    <w:rsid w:val="00c93fbe"/>
    <w:rPr>
      <w:rFonts w:ascii="Arial" w:hAnsi="Arial" w:eastAsia="ＭＳ Ｐゴシック" w:cs="" w:asciiTheme="majorHAnsi" w:cstheme="majorBidi" w:eastAsiaTheme="majorEastAsia" w:hAnsiTheme="majorHAnsi"/>
      <w:b/>
      <w:bCs/>
      <w:i/>
      <w:iCs/>
      <w:color w:themeColor="accent3" w:val="6DA6B9"/>
      <w:sz w:val="20"/>
      <w:szCs w:val="20"/>
    </w:rPr>
  </w:style>
  <w:style w:type="character" w:styleId="Titre9Car" w:customStyle="1">
    <w:name w:val="Titre 9 Car"/>
    <w:basedOn w:val="DefaultParagraphFont"/>
    <w:uiPriority w:val="9"/>
    <w:qFormat/>
    <w:rsid w:val="00c93fbe"/>
    <w:rPr>
      <w:rFonts w:ascii="Arial" w:hAnsi="Arial" w:eastAsia="ＭＳ Ｐゴシック" w:cs="" w:asciiTheme="majorHAnsi" w:cstheme="majorBidi" w:eastAsiaTheme="majorEastAsia" w:hAnsiTheme="majorHAnsi"/>
      <w:i/>
      <w:iCs/>
      <w:color w:themeColor="accent3" w:val="6DA6B9"/>
      <w:sz w:val="20"/>
      <w:szCs w:val="20"/>
    </w:rPr>
  </w:style>
  <w:style w:type="character" w:styleId="TitreCar" w:customStyle="1">
    <w:name w:val="Titre Car"/>
    <w:basedOn w:val="DefaultParagraphFont"/>
    <w:uiPriority w:val="10"/>
    <w:qFormat/>
    <w:rsid w:val="00c93fbe"/>
    <w:rPr>
      <w:rFonts w:ascii="Arial" w:hAnsi="Arial" w:eastAsia="ＭＳ Ｐゴシック" w:cs="" w:asciiTheme="majorHAnsi" w:cstheme="majorBidi" w:eastAsiaTheme="majorEastAsia" w:hAnsiTheme="majorHAnsi"/>
      <w:i/>
      <w:iCs/>
      <w:color w:themeColor="accent1" w:themeShade="7f" w:val="213648"/>
      <w:sz w:val="60"/>
      <w:szCs w:val="60"/>
    </w:rPr>
  </w:style>
  <w:style w:type="character" w:styleId="Sous-titreCar" w:customStyle="1">
    <w:name w:val="Sous-titre Car"/>
    <w:basedOn w:val="DefaultParagraphFont"/>
    <w:uiPriority w:val="11"/>
    <w:qFormat/>
    <w:rsid w:val="00c93fbe"/>
    <w:rPr>
      <w:rFonts w:ascii="Arial" w:hAnsi="Arial" w:asciiTheme="minorHAnsi"/>
      <w:i/>
      <w:iCs/>
      <w:sz w:val="24"/>
      <w:szCs w:val="24"/>
    </w:rPr>
  </w:style>
  <w:style w:type="character" w:styleId="Strong">
    <w:name w:val="Strong"/>
    <w:basedOn w:val="DefaultParagraphFont"/>
    <w:uiPriority w:val="22"/>
    <w:qFormat/>
    <w:rsid w:val="00c93fbe"/>
    <w:rPr>
      <w:b/>
      <w:bCs/>
      <w:spacing w:val="0"/>
    </w:rPr>
  </w:style>
  <w:style w:type="character" w:styleId="Emphasis">
    <w:name w:val="Emphasis"/>
    <w:uiPriority w:val="20"/>
    <w:qFormat/>
    <w:rsid w:val="00c93fbe"/>
    <w:rPr>
      <w:b/>
      <w:bCs/>
      <w:i/>
      <w:iCs/>
      <w:color w:themeColor="text1" w:themeTint="a5" w:val="5A5A5A"/>
    </w:rPr>
  </w:style>
  <w:style w:type="character" w:styleId="SansinterligneCar" w:customStyle="1">
    <w:name w:val="Sans interligne Car"/>
    <w:basedOn w:val="DefaultParagraphFont"/>
    <w:link w:val="NoSpacing"/>
    <w:uiPriority w:val="1"/>
    <w:qFormat/>
    <w:rsid w:val="00c93fbe"/>
    <w:rPr/>
  </w:style>
  <w:style w:type="character" w:styleId="CitationCar" w:customStyle="1">
    <w:name w:val="Citation Car"/>
    <w:basedOn w:val="DefaultParagraphFont"/>
    <w:link w:val="Quote"/>
    <w:uiPriority w:val="29"/>
    <w:qFormat/>
    <w:rsid w:val="00c93fbe"/>
    <w:rPr>
      <w:rFonts w:ascii="Arial" w:hAnsi="Arial" w:eastAsia="ＭＳ Ｐゴシック" w:cs="" w:asciiTheme="majorHAnsi" w:cstheme="majorBidi" w:eastAsiaTheme="majorEastAsia" w:hAnsiTheme="majorHAnsi"/>
      <w:i/>
      <w:iCs/>
      <w:color w:themeColor="text1" w:themeTint="a5" w:val="5A5A5A"/>
    </w:rPr>
  </w:style>
  <w:style w:type="character" w:styleId="CitationintenseCar" w:customStyle="1">
    <w:name w:val="Citation intense Car"/>
    <w:basedOn w:val="DefaultParagraphFont"/>
    <w:link w:val="IntenseQuote"/>
    <w:uiPriority w:val="30"/>
    <w:qFormat/>
    <w:rsid w:val="00c93fbe"/>
    <w:rPr>
      <w:rFonts w:ascii="Arial" w:hAnsi="Arial" w:eastAsia="ＭＳ Ｐゴシック" w:cs="" w:asciiTheme="majorHAnsi" w:cstheme="majorBidi" w:eastAsiaTheme="majorEastAsia" w:hAnsiTheme="majorHAnsi"/>
      <w:i/>
      <w:iCs/>
      <w:color w:themeColor="background1" w:val="FFFFFF"/>
      <w:sz w:val="24"/>
      <w:szCs w:val="24"/>
      <w:shd w:fill="436E91" w:val="clear"/>
    </w:rPr>
  </w:style>
  <w:style w:type="character" w:styleId="SubtleEmphasis">
    <w:name w:val="Subtle Emphasis"/>
    <w:uiPriority w:val="19"/>
    <w:qFormat/>
    <w:rsid w:val="00c93fbe"/>
    <w:rPr>
      <w:i/>
      <w:iCs/>
      <w:color w:themeColor="text1" w:themeTint="a5" w:val="5A5A5A"/>
    </w:rPr>
  </w:style>
  <w:style w:type="character" w:styleId="IntenseEmphasis">
    <w:name w:val="Intense Emphasis"/>
    <w:uiPriority w:val="21"/>
    <w:qFormat/>
    <w:rsid w:val="00c93fbe"/>
    <w:rPr>
      <w:b/>
      <w:bCs/>
      <w:i/>
      <w:iCs/>
      <w:color w:themeColor="accent1" w:val="436E91"/>
      <w:sz w:val="22"/>
      <w:szCs w:val="22"/>
    </w:rPr>
  </w:style>
  <w:style w:type="character" w:styleId="SubtleReference">
    <w:name w:val="Subtle Reference"/>
    <w:uiPriority w:val="31"/>
    <w:qFormat/>
    <w:rsid w:val="00c93fbe"/>
    <w:rPr>
      <w:color w:val="auto"/>
      <w:u w:val="single" w:color="6DA6B9" w:themeColor="accent3"/>
    </w:rPr>
  </w:style>
  <w:style w:type="character" w:styleId="IntenseReference">
    <w:name w:val="Intense Reference"/>
    <w:basedOn w:val="DefaultParagraphFont"/>
    <w:uiPriority w:val="32"/>
    <w:qFormat/>
    <w:rsid w:val="00c93fbe"/>
    <w:rPr>
      <w:b/>
      <w:bCs/>
      <w:color w:themeColor="accent3" w:themeShade="bf" w:val="478194"/>
      <w:u w:val="single" w:color="6DA6B9" w:themeColor="accent3"/>
    </w:rPr>
  </w:style>
  <w:style w:type="character" w:styleId="BookTitle">
    <w:name w:val="Book Title"/>
    <w:basedOn w:val="DefaultParagraphFont"/>
    <w:uiPriority w:val="33"/>
    <w:qFormat/>
    <w:rsid w:val="00c93fbe"/>
    <w:rPr>
      <w:rFonts w:ascii="Arial" w:hAnsi="Arial" w:eastAsia="ＭＳ Ｐゴシック" w:cs="" w:asciiTheme="majorHAnsi" w:cstheme="majorBidi" w:eastAsiaTheme="majorEastAsia" w:hAnsiTheme="majorHAnsi"/>
      <w:b/>
      <w:bCs/>
      <w:i/>
      <w:iCs/>
      <w:color w:val="auto"/>
    </w:rPr>
  </w:style>
  <w:style w:type="character" w:styleId="annotationreference">
    <w:name w:val="annotation reference"/>
    <w:basedOn w:val="DefaultParagraphFont"/>
    <w:uiPriority w:val="99"/>
    <w:semiHidden/>
    <w:unhideWhenUsed/>
    <w:qFormat/>
    <w:rsid w:val="001214bc"/>
    <w:rPr>
      <w:sz w:val="16"/>
      <w:szCs w:val="16"/>
    </w:rPr>
  </w:style>
  <w:style w:type="character" w:styleId="CommentaireCar" w:customStyle="1">
    <w:name w:val="Commentaire Car"/>
    <w:basedOn w:val="DefaultParagraphFont"/>
    <w:uiPriority w:val="99"/>
    <w:qFormat/>
    <w:rsid w:val="001214bc"/>
    <w:rPr>
      <w:rFonts w:ascii="Arial" w:hAnsi="Arial" w:eastAsia="Times New Roman" w:cs="Times New Roman"/>
      <w:sz w:val="20"/>
      <w:szCs w:val="20"/>
      <w:lang w:val="fr-FR" w:eastAsia="fr-FR" w:bidi="ar-SA"/>
    </w:rPr>
  </w:style>
  <w:style w:type="character" w:styleId="TextedebullesCar" w:customStyle="1">
    <w:name w:val="Texte de bulles Car"/>
    <w:basedOn w:val="DefaultParagraphFont"/>
    <w:link w:val="BalloonText"/>
    <w:uiPriority w:val="99"/>
    <w:semiHidden/>
    <w:qFormat/>
    <w:rsid w:val="001214bc"/>
    <w:rPr>
      <w:rFonts w:ascii="Tahoma" w:hAnsi="Tahoma" w:cs="Tahoma"/>
      <w:sz w:val="16"/>
      <w:szCs w:val="16"/>
    </w:rPr>
  </w:style>
  <w:style w:type="character" w:styleId="Corpsdetexte3Car" w:customStyle="1">
    <w:name w:val="Corps de texte 3 Car"/>
    <w:basedOn w:val="DefaultParagraphFont"/>
    <w:link w:val="BodyText3"/>
    <w:uiPriority w:val="99"/>
    <w:semiHidden/>
    <w:qFormat/>
    <w:rsid w:val="006a2101"/>
    <w:rPr>
      <w:rFonts w:ascii="Arial" w:hAnsi="Arial" w:eastAsia="Times New Roman" w:cs="Times New Roman"/>
      <w:sz w:val="24"/>
      <w:szCs w:val="20"/>
      <w:lang w:val="fr-FR" w:eastAsia="fr-FR" w:bidi="ar-SA"/>
    </w:rPr>
  </w:style>
  <w:style w:type="character" w:styleId="PieddepageCar" w:customStyle="1">
    <w:name w:val="Pied de page Car"/>
    <w:basedOn w:val="DefaultParagraphFont"/>
    <w:qFormat/>
    <w:rsid w:val="00de536c"/>
    <w:rPr>
      <w:rFonts w:ascii="Arial" w:hAnsi="Arial" w:eastAsia="Times New Roman" w:cs="Times New Roman"/>
      <w:sz w:val="24"/>
      <w:szCs w:val="20"/>
      <w:lang w:val="fr-FR" w:eastAsia="fr-FR" w:bidi="ar-SA"/>
    </w:rPr>
  </w:style>
  <w:style w:type="character" w:styleId="InternetLink">
    <w:name w:val="Internet Link"/>
    <w:uiPriority w:val="99"/>
    <w:unhideWhenUsed/>
    <w:qFormat/>
    <w:rsid w:val="00de536c"/>
    <w:rPr>
      <w:color w:val="0000FF"/>
      <w:u w:val="single"/>
    </w:rPr>
  </w:style>
  <w:style w:type="character" w:styleId="Retraitcorpsdetexte2Car" w:customStyle="1">
    <w:name w:val="Retrait corps de texte 2 Car"/>
    <w:basedOn w:val="DefaultParagraphFont"/>
    <w:link w:val="BodyTextIndent2"/>
    <w:uiPriority w:val="99"/>
    <w:qFormat/>
    <w:rsid w:val="00e92a51"/>
    <w:rPr/>
  </w:style>
  <w:style w:type="character" w:styleId="En-tteCar" w:customStyle="1">
    <w:name w:val="En-tête Car"/>
    <w:basedOn w:val="DefaultParagraphFont"/>
    <w:uiPriority w:val="99"/>
    <w:qFormat/>
    <w:rsid w:val="00254442"/>
    <w:rPr/>
  </w:style>
  <w:style w:type="character" w:styleId="Corpsdetexte2Car" w:customStyle="1">
    <w:name w:val="Corps de texte 2 Car"/>
    <w:basedOn w:val="DefaultParagraphFont"/>
    <w:link w:val="BodyText2"/>
    <w:uiPriority w:val="99"/>
    <w:qFormat/>
    <w:rsid w:val="00b42673"/>
    <w:rPr/>
  </w:style>
  <w:style w:type="character" w:styleId="RetraitcorpsdetexteCar" w:customStyle="1">
    <w:name w:val="Retrait corps de texte Car"/>
    <w:basedOn w:val="DefaultParagraphFont"/>
    <w:link w:val="BodyTextIndented"/>
    <w:uiPriority w:val="99"/>
    <w:qFormat/>
    <w:rsid w:val="00b42673"/>
    <w:rPr/>
  </w:style>
  <w:style w:type="character" w:styleId="CorpsdetexteCar" w:customStyle="1">
    <w:name w:val="Corps de texte Car"/>
    <w:basedOn w:val="DefaultParagraphFont"/>
    <w:uiPriority w:val="99"/>
    <w:qFormat/>
    <w:rsid w:val="004162ce"/>
    <w:rPr/>
  </w:style>
  <w:style w:type="character" w:styleId="Retraitcorpsdetexte3Car" w:customStyle="1">
    <w:name w:val="Retrait corps de texte 3 Car"/>
    <w:basedOn w:val="DefaultParagraphFont"/>
    <w:link w:val="BodyTextIndent3"/>
    <w:uiPriority w:val="99"/>
    <w:qFormat/>
    <w:rsid w:val="004162ce"/>
    <w:rPr>
      <w:sz w:val="16"/>
      <w:szCs w:val="16"/>
    </w:rPr>
  </w:style>
  <w:style w:type="character" w:styleId="ObjetducommentaireCar" w:customStyle="1">
    <w:name w:val="Objet du commentaire Car"/>
    <w:basedOn w:val="CommentaireCar"/>
    <w:link w:val="annotationsubject"/>
    <w:uiPriority w:val="99"/>
    <w:semiHidden/>
    <w:qFormat/>
    <w:rsid w:val="000616ac"/>
    <w:rPr>
      <w:rFonts w:ascii="Arial" w:hAnsi="Arial" w:eastAsia="Times New Roman" w:cs="Arial"/>
      <w:b/>
      <w:bCs/>
      <w:sz w:val="20"/>
      <w:szCs w:val="20"/>
      <w:lang w:val="fr-FR" w:eastAsia="fr-FR" w:bidi="ar-SA"/>
    </w:rPr>
  </w:style>
  <w:style w:type="character" w:styleId="CommentaireCar1" w:customStyle="1">
    <w:name w:val="Commentaire Car1"/>
    <w:uiPriority w:val="99"/>
    <w:semiHidden/>
    <w:qFormat/>
    <w:rsid w:val="00693e25"/>
    <w:rPr>
      <w:rFonts w:ascii="Arial" w:hAnsi="Arial" w:cs="Arial"/>
    </w:rPr>
  </w:style>
  <w:style w:type="character" w:styleId="PlaceholderText">
    <w:name w:val="Placeholder Text"/>
    <w:basedOn w:val="DefaultParagraphFont"/>
    <w:uiPriority w:val="99"/>
    <w:semiHidden/>
    <w:qFormat/>
    <w:rsid w:val="00e93a96"/>
    <w:rPr>
      <w:color w:val="808080"/>
    </w:rPr>
  </w:style>
  <w:style w:type="character" w:styleId="PageNumber">
    <w:name w:val="Page Number"/>
    <w:basedOn w:val="DefaultParagraphFont"/>
    <w:semiHidden/>
    <w:rsid w:val="00487de5"/>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487de5"/>
    <w:rPr>
      <w:vertAlign w:val="superscript"/>
    </w:rPr>
  </w:style>
  <w:style w:type="character" w:styleId="UnresolvedMention">
    <w:name w:val="Unresolved Mention"/>
    <w:basedOn w:val="DefaultParagraphFont"/>
    <w:uiPriority w:val="99"/>
    <w:semiHidden/>
    <w:unhideWhenUsed/>
    <w:qFormat/>
    <w:rsid w:val="006518a1"/>
    <w:rPr>
      <w:color w:val="605E5C"/>
      <w:shd w:fill="E1DFDD" w:val="clear"/>
    </w:rPr>
  </w:style>
  <w:style w:type="character" w:styleId="FollowedHyperlink">
    <w:name w:val="FollowedHyperlink"/>
    <w:basedOn w:val="DefaultParagraphFont"/>
    <w:uiPriority w:val="99"/>
    <w:semiHidden/>
    <w:unhideWhenUsed/>
    <w:rsid w:val="00c32ad5"/>
    <w:rPr>
      <w:color w:themeColor="followedHyperlink" w:val="436E91"/>
      <w:u w:val="single"/>
    </w:rPr>
  </w:style>
  <w:style w:type="character" w:styleId="Hyperlink">
    <w:name w:val="Hyperlink"/>
    <w:rPr>
      <w:color w:val="000080"/>
      <w:u w:val="single"/>
    </w:rPr>
  </w:style>
  <w:style w:type="character" w:styleId="Caractresdenotedebasdepage">
    <w:name w:val="Caractères de note de bas de page"/>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link w:val="CorpsdetexteCar"/>
    <w:uiPriority w:val="99"/>
    <w:unhideWhenUsed/>
    <w:rsid w:val="004162ce"/>
    <w:pPr>
      <w:spacing w:before="0" w:after="12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c93fbe"/>
    <w:pPr/>
    <w:rPr>
      <w:b/>
      <w:bCs/>
      <w:sz w:val="18"/>
      <w:szCs w:val="18"/>
    </w:rPr>
  </w:style>
  <w:style w:type="paragraph" w:styleId="Index">
    <w:name w:val="Index"/>
    <w:basedOn w:val="Normal"/>
    <w:qFormat/>
    <w:pPr>
      <w:suppressLineNumbers/>
    </w:pPr>
    <w:rPr>
      <w:rFonts w:ascii="Marianne" w:hAnsi="Marianne" w:cs="Arial"/>
    </w:rPr>
  </w:style>
  <w:style w:type="paragraph" w:styleId="Titl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Arial" w:hAnsi="Arial" w:eastAsia="ＭＳ Ｐゴシック" w:cs="" w:asciiTheme="majorHAnsi" w:cstheme="majorBidi" w:eastAsiaTheme="majorEastAsia" w:hAnsiTheme="majorHAnsi"/>
      <w:i/>
      <w:iCs/>
      <w:color w:themeColor="accent1" w:themeShade="7f" w:val="213648"/>
      <w:sz w:val="60"/>
      <w:szCs w:val="60"/>
    </w:rPr>
  </w:style>
  <w:style w:type="paragraph" w:styleId="Subtitle">
    <w:name w:val="Subtitle"/>
    <w:basedOn w:val="Normal"/>
    <w:next w:val="Normal"/>
    <w:link w:val="Sous-titreCar"/>
    <w:qFormat/>
    <w:rsid w:val="00c93fbe"/>
    <w:pPr>
      <w:spacing w:before="200" w:after="900"/>
      <w:jc w:val="right"/>
    </w:pPr>
    <w:rPr>
      <w:i/>
      <w:iCs/>
      <w:sz w:val="24"/>
      <w:szCs w:val="24"/>
    </w:rPr>
  </w:style>
  <w:style w:type="paragraph" w:styleId="NoSpacing">
    <w:name w:val="No Spacing"/>
    <w:basedOn w:val="Normal"/>
    <w:link w:val="SansinterligneCar"/>
    <w:uiPriority w:val="1"/>
    <w:qFormat/>
    <w:rsid w:val="00c93fbe"/>
    <w:pPr/>
    <w:rPr/>
  </w:style>
  <w:style w:type="paragraph" w:styleId="ListParagraph">
    <w:name w:val="List Paragraph"/>
    <w:basedOn w:val="Normal"/>
    <w:uiPriority w:val="34"/>
    <w:qFormat/>
    <w:rsid w:val="00c93fbe"/>
    <w:pPr>
      <w:spacing w:before="0" w:after="0"/>
      <w:ind w:left="720"/>
      <w:contextualSpacing/>
    </w:pPr>
    <w:rPr/>
  </w:style>
  <w:style w:type="paragraph" w:styleId="Quote">
    <w:name w:val="Quote"/>
    <w:basedOn w:val="Normal"/>
    <w:next w:val="Normal"/>
    <w:link w:val="CitationCar"/>
    <w:uiPriority w:val="29"/>
    <w:qFormat/>
    <w:rsid w:val="00c93fbe"/>
    <w:pPr/>
    <w:rPr>
      <w:rFonts w:ascii="Arial" w:hAnsi="Arial" w:eastAsia="ＭＳ Ｐゴシック" w:cs="" w:asciiTheme="majorHAnsi" w:cstheme="majorBidi" w:eastAsiaTheme="majorEastAsia" w:hAnsiTheme="majorHAnsi"/>
      <w:i/>
      <w:iCs/>
      <w:color w:themeColor="text1" w:themeTint="a5" w:val="5A5A5A"/>
    </w:rPr>
  </w:style>
  <w:style w:type="paragraph" w:styleId="IntenseQuot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lineRule="auto" w:line="300" w:before="320" w:after="320"/>
      <w:ind w:left="1440" w:right="1440"/>
    </w:pPr>
    <w:rPr>
      <w:rFonts w:ascii="Arial" w:hAnsi="Arial" w:eastAsia="ＭＳ Ｐゴシック" w:cs="" w:asciiTheme="majorHAnsi" w:cstheme="majorBidi" w:eastAsiaTheme="majorEastAsia" w:hAnsiTheme="majorHAnsi"/>
      <w:i/>
      <w:iCs/>
      <w:color w:themeColor="background1" w:val="FFFFFF"/>
      <w:sz w:val="24"/>
      <w:szCs w:val="24"/>
    </w:rPr>
  </w:style>
  <w:style w:type="paragraph" w:styleId="IndexHeading">
    <w:name w:val="Index Heading"/>
    <w:basedOn w:val="Titre"/>
    <w:pPr/>
    <w:rPr/>
  </w:style>
  <w:style w:type="paragraph" w:styleId="TOCHeading">
    <w:name w:val="TOC Heading"/>
    <w:basedOn w:val="Heading1"/>
    <w:next w:val="Normal"/>
    <w:uiPriority w:val="39"/>
    <w:semiHidden/>
    <w:unhideWhenUsed/>
    <w:qFormat/>
    <w:rsid w:val="00c93fbe"/>
    <w:pPr>
      <w:outlineLvl w:val="9"/>
    </w:pPr>
    <w:rPr/>
  </w:style>
  <w:style w:type="paragraph" w:styleId="AnnotationText">
    <w:name w:val="Annotation Text"/>
    <w:basedOn w:val="Normal"/>
    <w:link w:val="CommentaireCar"/>
    <w:uiPriority w:val="99"/>
    <w:unhideWhenUsed/>
    <w:rsid w:val="001214bc"/>
    <w:pPr/>
    <w:rPr>
      <w:rFonts w:cs="Times New Roman"/>
      <w:sz w:val="20"/>
      <w:szCs w:val="20"/>
    </w:rPr>
  </w:style>
  <w:style w:type="paragraph" w:styleId="BalloonText">
    <w:name w:val="Balloon Text"/>
    <w:basedOn w:val="Normal"/>
    <w:link w:val="TextedebullesCar"/>
    <w:uiPriority w:val="99"/>
    <w:semiHidden/>
    <w:unhideWhenUsed/>
    <w:qFormat/>
    <w:rsid w:val="001214bc"/>
    <w:pPr/>
    <w:rPr>
      <w:rFonts w:ascii="Tahoma" w:hAnsi="Tahoma" w:cs="Tahoma"/>
      <w:sz w:val="16"/>
      <w:szCs w:val="16"/>
    </w:rPr>
  </w:style>
  <w:style w:type="paragraph" w:styleId="BodyText3">
    <w:name w:val="Body Text 3"/>
    <w:basedOn w:val="Normal"/>
    <w:link w:val="Corpsdetexte3Car"/>
    <w:uiPriority w:val="99"/>
    <w:semiHidden/>
    <w:qFormat/>
    <w:rsid w:val="006a2101"/>
    <w:pPr/>
    <w:rPr>
      <w:rFonts w:cs="Times New Roman"/>
      <w:sz w:val="24"/>
      <w:szCs w:val="20"/>
    </w:rPr>
  </w:style>
  <w:style w:type="paragraph" w:styleId="TOC1">
    <w:name w:val="TOC 1"/>
    <w:basedOn w:val="Normal"/>
    <w:next w:val="Normal"/>
    <w:autoRedefine/>
    <w:uiPriority w:val="39"/>
    <w:unhideWhenUsed/>
    <w:rsid w:val="00de536c"/>
    <w:pPr>
      <w:spacing w:before="120" w:after="0"/>
      <w:jc w:val="left"/>
    </w:pPr>
    <w:rPr>
      <w:rFonts w:ascii="Arial" w:hAnsi="Arial" w:asciiTheme="minorHAnsi" w:hAnsiTheme="minorHAnsi"/>
      <w:b/>
      <w:bCs/>
      <w:i/>
      <w:iCs/>
      <w:sz w:val="24"/>
      <w:szCs w:val="24"/>
    </w:rPr>
  </w:style>
  <w:style w:type="paragraph" w:styleId="TOC2">
    <w:name w:val="TOC 2"/>
    <w:basedOn w:val="Normal"/>
    <w:next w:val="Normal"/>
    <w:autoRedefine/>
    <w:uiPriority w:val="39"/>
    <w:unhideWhenUsed/>
    <w:rsid w:val="00de536c"/>
    <w:pPr>
      <w:spacing w:before="120" w:after="0"/>
      <w:ind w:left="220"/>
      <w:jc w:val="left"/>
    </w:pPr>
    <w:rPr>
      <w:rFonts w:ascii="Arial" w:hAnsi="Arial" w:asciiTheme="minorHAnsi" w:hAnsiTheme="minorHAnsi"/>
      <w:b/>
      <w:bCs/>
    </w:rPr>
  </w:style>
  <w:style w:type="paragraph" w:styleId="HeaderandFooter">
    <w:name w:val="Header and Footer"/>
    <w:basedOn w:val="Normal"/>
    <w:qFormat/>
    <w:pPr/>
    <w:rPr/>
  </w:style>
  <w:style w:type="paragraph" w:styleId="Footer">
    <w:name w:val="Footer"/>
    <w:basedOn w:val="Normal"/>
    <w:link w:val="PieddepageCar"/>
    <w:rsid w:val="00de536c"/>
    <w:pPr>
      <w:tabs>
        <w:tab w:val="clear" w:pos="708"/>
        <w:tab w:val="center" w:pos="4536" w:leader="none"/>
        <w:tab w:val="right" w:pos="9072" w:leader="none"/>
      </w:tabs>
    </w:pPr>
    <w:rPr>
      <w:rFonts w:cs="Times New Roman"/>
      <w:sz w:val="24"/>
      <w:szCs w:val="20"/>
    </w:rPr>
  </w:style>
  <w:style w:type="paragraph" w:styleId="BodyTextIndent2">
    <w:name w:val="Body Text Indent 2"/>
    <w:basedOn w:val="Normal"/>
    <w:link w:val="Retraitcorpsdetexte2Car"/>
    <w:uiPriority w:val="99"/>
    <w:unhideWhenUsed/>
    <w:qFormat/>
    <w:rsid w:val="00e92a51"/>
    <w:pPr>
      <w:spacing w:lineRule="auto" w:line="480" w:before="0" w:after="120"/>
      <w:ind w:left="283"/>
    </w:pPr>
    <w:rPr/>
  </w:style>
  <w:style w:type="paragraph" w:styleId="Header">
    <w:name w:val="Header"/>
    <w:basedOn w:val="Normal"/>
    <w:link w:val="En-tteCar"/>
    <w:uiPriority w:val="99"/>
    <w:unhideWhenUsed/>
    <w:rsid w:val="00254442"/>
    <w:pPr>
      <w:tabs>
        <w:tab w:val="clear" w:pos="708"/>
        <w:tab w:val="center" w:pos="4536" w:leader="none"/>
        <w:tab w:val="right" w:pos="9072" w:leader="none"/>
      </w:tabs>
    </w:pPr>
    <w:rPr/>
  </w:style>
  <w:style w:type="paragraph" w:styleId="BodyText2">
    <w:name w:val="Body Text 2"/>
    <w:basedOn w:val="Normal"/>
    <w:link w:val="Corpsdetexte2Car"/>
    <w:uiPriority w:val="99"/>
    <w:unhideWhenUsed/>
    <w:qFormat/>
    <w:rsid w:val="00b42673"/>
    <w:pPr>
      <w:spacing w:lineRule="auto" w:line="480" w:before="0" w:after="120"/>
    </w:pPr>
    <w:rPr/>
  </w:style>
  <w:style w:type="paragraph" w:styleId="BodyTextIndented">
    <w:name w:val="Body Text, Indented"/>
    <w:basedOn w:val="Normal"/>
    <w:link w:val="RetraitcorpsdetexteCar"/>
    <w:uiPriority w:val="99"/>
    <w:unhideWhenUsed/>
    <w:qFormat/>
    <w:rsid w:val="00b42673"/>
    <w:pPr>
      <w:spacing w:before="0" w:after="120"/>
      <w:ind w:left="283"/>
    </w:pPr>
    <w:rPr/>
  </w:style>
  <w:style w:type="paragraph" w:styleId="BodyTextIndent3">
    <w:name w:val="Body Text Indent 3"/>
    <w:basedOn w:val="Normal"/>
    <w:link w:val="Retraitcorpsdetexte3Car"/>
    <w:uiPriority w:val="99"/>
    <w:unhideWhenUsed/>
    <w:qFormat/>
    <w:rsid w:val="004162ce"/>
    <w:pPr>
      <w:spacing w:before="0" w:after="120"/>
      <w:ind w:left="283"/>
    </w:pPr>
    <w:rPr>
      <w:sz w:val="16"/>
      <w:szCs w:val="16"/>
    </w:rPr>
  </w:style>
  <w:style w:type="paragraph" w:styleId="BlockText">
    <w:name w:val="Block Text"/>
    <w:basedOn w:val="Normal"/>
    <w:semiHidden/>
    <w:qFormat/>
    <w:rsid w:val="00a1006e"/>
    <w:pPr>
      <w:ind w:left="851" w:right="-1"/>
    </w:pPr>
    <w:rPr>
      <w:rFonts w:cs="Times New Roman"/>
      <w:sz w:val="24"/>
      <w:szCs w:val="20"/>
    </w:rPr>
  </w:style>
  <w:style w:type="paragraph" w:styleId="annotationsubject">
    <w:name w:val="annotation subject"/>
    <w:basedOn w:val="AnnotationText"/>
    <w:next w:val="AnnotationText"/>
    <w:link w:val="ObjetducommentaireCar"/>
    <w:uiPriority w:val="99"/>
    <w:semiHidden/>
    <w:unhideWhenUsed/>
    <w:qFormat/>
    <w:rsid w:val="000616ac"/>
    <w:pPr/>
    <w:rPr>
      <w:rFonts w:cs="Arial"/>
      <w:b/>
      <w:bCs/>
    </w:rPr>
  </w:style>
  <w:style w:type="paragraph" w:styleId="TOC3">
    <w:name w:val="TOC 3"/>
    <w:basedOn w:val="Normal"/>
    <w:next w:val="Normal"/>
    <w:autoRedefine/>
    <w:uiPriority w:val="39"/>
    <w:unhideWhenUsed/>
    <w:rsid w:val="001d0588"/>
    <w:pPr>
      <w:ind w:left="440"/>
      <w:jc w:val="left"/>
    </w:pPr>
    <w:rPr>
      <w:rFonts w:ascii="Arial" w:hAnsi="Arial" w:asciiTheme="minorHAnsi" w:hAnsiTheme="minorHAnsi"/>
      <w:sz w:val="20"/>
      <w:szCs w:val="20"/>
    </w:rPr>
  </w:style>
  <w:style w:type="paragraph" w:styleId="TOC4">
    <w:name w:val="TOC 4"/>
    <w:basedOn w:val="Normal"/>
    <w:next w:val="Normal"/>
    <w:autoRedefine/>
    <w:uiPriority w:val="39"/>
    <w:unhideWhenUsed/>
    <w:rsid w:val="001d0588"/>
    <w:pPr>
      <w:ind w:left="660"/>
      <w:jc w:val="left"/>
    </w:pPr>
    <w:rPr>
      <w:rFonts w:ascii="Arial" w:hAnsi="Arial" w:asciiTheme="minorHAnsi" w:hAnsiTheme="minorHAnsi"/>
      <w:sz w:val="20"/>
      <w:szCs w:val="20"/>
    </w:rPr>
  </w:style>
  <w:style w:type="paragraph" w:styleId="TOC5">
    <w:name w:val="TOC 5"/>
    <w:basedOn w:val="Normal"/>
    <w:next w:val="Normal"/>
    <w:autoRedefine/>
    <w:uiPriority w:val="39"/>
    <w:unhideWhenUsed/>
    <w:rsid w:val="001d0588"/>
    <w:pPr>
      <w:ind w:left="880"/>
      <w:jc w:val="left"/>
    </w:pPr>
    <w:rPr>
      <w:rFonts w:ascii="Arial" w:hAnsi="Arial" w:asciiTheme="minorHAnsi" w:hAnsiTheme="minorHAnsi"/>
      <w:sz w:val="20"/>
      <w:szCs w:val="20"/>
    </w:rPr>
  </w:style>
  <w:style w:type="paragraph" w:styleId="TOC6">
    <w:name w:val="TOC 6"/>
    <w:basedOn w:val="Normal"/>
    <w:next w:val="Normal"/>
    <w:autoRedefine/>
    <w:uiPriority w:val="39"/>
    <w:unhideWhenUsed/>
    <w:rsid w:val="001d0588"/>
    <w:pPr>
      <w:ind w:left="1100"/>
      <w:jc w:val="left"/>
    </w:pPr>
    <w:rPr>
      <w:rFonts w:ascii="Arial" w:hAnsi="Arial" w:asciiTheme="minorHAnsi" w:hAnsiTheme="minorHAnsi"/>
      <w:sz w:val="20"/>
      <w:szCs w:val="20"/>
    </w:rPr>
  </w:style>
  <w:style w:type="paragraph" w:styleId="TOC7">
    <w:name w:val="TOC 7"/>
    <w:basedOn w:val="Normal"/>
    <w:next w:val="Normal"/>
    <w:autoRedefine/>
    <w:uiPriority w:val="39"/>
    <w:unhideWhenUsed/>
    <w:rsid w:val="001d0588"/>
    <w:pPr>
      <w:ind w:left="1320"/>
      <w:jc w:val="left"/>
    </w:pPr>
    <w:rPr>
      <w:rFonts w:ascii="Arial" w:hAnsi="Arial" w:asciiTheme="minorHAnsi" w:hAnsiTheme="minorHAnsi"/>
      <w:sz w:val="20"/>
      <w:szCs w:val="20"/>
    </w:rPr>
  </w:style>
  <w:style w:type="paragraph" w:styleId="TOC8">
    <w:name w:val="TOC 8"/>
    <w:basedOn w:val="Normal"/>
    <w:next w:val="Normal"/>
    <w:autoRedefine/>
    <w:uiPriority w:val="39"/>
    <w:unhideWhenUsed/>
    <w:rsid w:val="001d0588"/>
    <w:pPr>
      <w:ind w:left="1540"/>
      <w:jc w:val="left"/>
    </w:pPr>
    <w:rPr>
      <w:rFonts w:ascii="Arial" w:hAnsi="Arial" w:asciiTheme="minorHAnsi" w:hAnsiTheme="minorHAnsi"/>
      <w:sz w:val="20"/>
      <w:szCs w:val="20"/>
    </w:rPr>
  </w:style>
  <w:style w:type="paragraph" w:styleId="TOC9">
    <w:name w:val="TOC 9"/>
    <w:basedOn w:val="Normal"/>
    <w:next w:val="Normal"/>
    <w:autoRedefine/>
    <w:uiPriority w:val="39"/>
    <w:unhideWhenUsed/>
    <w:rsid w:val="001d0588"/>
    <w:pPr>
      <w:ind w:left="1760"/>
      <w:jc w:val="left"/>
    </w:pPr>
    <w:rPr>
      <w:rFonts w:ascii="Arial" w:hAnsi="Arial" w:asciiTheme="minorHAnsi" w:hAnsiTheme="minorHAnsi"/>
      <w:sz w:val="20"/>
      <w:szCs w:val="20"/>
    </w:rPr>
  </w:style>
  <w:style w:type="paragraph" w:styleId="11-11textebrut" w:customStyle="1">
    <w:name w:val="11 - 1.1 texte brut"/>
    <w:basedOn w:val="Heading6"/>
    <w:qFormat/>
    <w:rsid w:val="00293548"/>
    <w:pPr>
      <w:keepNext w:val="true"/>
      <w:numPr>
        <w:ilvl w:val="2"/>
        <w:numId w:val="1"/>
      </w:numPr>
      <w:tabs>
        <w:tab w:val="clear" w:pos="708"/>
        <w:tab w:val="left" w:pos="1134" w:leader="none"/>
      </w:tabs>
      <w:spacing w:before="0" w:after="0"/>
      <w:ind w:hanging="567" w:left="1134"/>
    </w:pPr>
    <w:rPr>
      <w:rFonts w:ascii="Arial" w:hAnsi="Arial" w:eastAsia="Times New Roman" w:cs="Arial"/>
      <w:i w:val="false"/>
      <w:iCs w:val="false"/>
      <w:color w:themeColor="accent1" w:val="auto"/>
    </w:rPr>
  </w:style>
  <w:style w:type="paragraph" w:styleId="Date1" w:customStyle="1">
    <w:name w:val="Date1"/>
    <w:basedOn w:val="Normal"/>
    <w:qFormat/>
    <w:rsid w:val="00ea5e85"/>
    <w:pPr>
      <w:widowControl/>
      <w:spacing w:beforeAutospacing="1" w:afterAutospacing="1"/>
      <w:jc w:val="left"/>
    </w:pPr>
    <w:rPr>
      <w:rFonts w:ascii="Times New Roman" w:hAnsi="Times New Roman" w:cs="Times New Roman"/>
      <w:sz w:val="24"/>
      <w:szCs w:val="24"/>
    </w:rPr>
  </w:style>
  <w:style w:type="paragraph" w:styleId="NormalWeb">
    <w:name w:val="Normal (Web)"/>
    <w:basedOn w:val="Normal"/>
    <w:uiPriority w:val="99"/>
    <w:semiHidden/>
    <w:unhideWhenUsed/>
    <w:qFormat/>
    <w:rsid w:val="00ea5e85"/>
    <w:pPr>
      <w:widowControl/>
      <w:spacing w:beforeAutospacing="1" w:afterAutospacing="1"/>
      <w:jc w:val="left"/>
    </w:pPr>
    <w:rPr>
      <w:rFonts w:ascii="Times New Roman" w:hAnsi="Times New Roman" w:cs="Times New Roman"/>
      <w:sz w:val="24"/>
      <w:szCs w:val="24"/>
    </w:rPr>
  </w:style>
  <w:style w:type="paragraph" w:styleId="02Nomdulot" w:customStyle="1">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styleId="03Numlot" w:customStyle="1">
    <w:name w:val="03 Num lot"/>
    <w:basedOn w:val="Normal"/>
    <w:qFormat/>
    <w:rsid w:val="009b1216"/>
    <w:pPr>
      <w:ind w:right="-312"/>
      <w:jc w:val="center"/>
    </w:pPr>
    <w:rPr>
      <w:rFonts w:cs="Times New Roman"/>
      <w:bCs/>
      <w:color w:val="000000"/>
      <w:sz w:val="40"/>
      <w:szCs w:val="20"/>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0f40e1"/>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legifrance.gouv.fr/affichCodeArticle.do?cidTexte=LEGITEXT000006073984&amp;idArticle=LEGIARTI000006793179&amp;dateTexte=&amp;categorieLien=cid" TargetMode="External"/><Relationship Id="rId3" Type="http://schemas.openxmlformats.org/officeDocument/2006/relationships/hyperlink" Target="https://portail.protectas.fr/moovapps/easysite/workplace/question?q=uri://vdoc/resource/1124" TargetMode="External"/><Relationship Id="rId4" Type="http://schemas.openxmlformats.org/officeDocument/2006/relationships/hyperlink" Target="https://portail.protectas.fr/moovapps/easysite/workplace/question?q=uri://vdoc/resource/1125" TargetMode="External"/><Relationship Id="rId5" Type="http://schemas.openxmlformats.org/officeDocument/2006/relationships/hyperlink" Target="https://portail.protectas.fr/moovapps/easysite/workplace/question?q=uri://vdoc/resource/4498" TargetMode="External"/><Relationship Id="rId6" Type="http://schemas.openxmlformats.org/officeDocument/2006/relationships/hyperlink" Target="https://portail.protectas.fr/moovapps/easysite/workplace/question?q=uri://vdoc/resource/4491"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eme-Protectas">
  <a:themeElements>
    <a:clrScheme name="Protectas">
      <a:dk1>
        <a:srgbClr val="000000"/>
      </a:dk1>
      <a:lt1>
        <a:srgbClr val="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pitchFamily="0" charset="1"/>
        <a:ea typeface=""/>
        <a:cs typeface=""/>
      </a:majorFont>
      <a:minorFont>
        <a:latin typeface="Arial" panose="020B06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35F25-59AA-40F7-ABD0-1C767E53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5</Pages>
  <Words>1228</Words>
  <Characters>6658</Characters>
  <CharactersWithSpaces>7775</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2026-02-03T15:22:12Z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